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4110" w14:textId="4A025C67" w:rsidR="00CC392E" w:rsidRDefault="00CC392E" w:rsidP="00CC392E">
      <w:pPr>
        <w:rPr>
          <w:b/>
        </w:rPr>
      </w:pPr>
      <w:bookmarkStart w:id="0" w:name="_GoBack"/>
      <w:bookmarkEnd w:id="0"/>
      <w:r>
        <w:rPr>
          <w:b/>
          <w:noProof/>
          <w:lang w:eastAsia="fr-FR"/>
        </w:rPr>
        <w:drawing>
          <wp:inline distT="0" distB="0" distL="0" distR="0" wp14:anchorId="14372B7E" wp14:editId="23533419">
            <wp:extent cx="2105025" cy="10477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047750"/>
                    </a:xfrm>
                    <a:prstGeom prst="rect">
                      <a:avLst/>
                    </a:prstGeom>
                    <a:noFill/>
                    <a:ln>
                      <a:noFill/>
                    </a:ln>
                  </pic:spPr>
                </pic:pic>
              </a:graphicData>
            </a:graphic>
          </wp:inline>
        </w:drawing>
      </w:r>
    </w:p>
    <w:p w14:paraId="56A8D6CE" w14:textId="77777777" w:rsidR="00CC392E" w:rsidRDefault="00CC392E" w:rsidP="00CC392E">
      <w:pPr>
        <w:rPr>
          <w:b/>
        </w:rPr>
      </w:pPr>
    </w:p>
    <w:p w14:paraId="26458E6E" w14:textId="77777777" w:rsidR="00CC392E" w:rsidRDefault="00CC392E" w:rsidP="00CC392E">
      <w:pPr>
        <w:jc w:val="center"/>
        <w:rPr>
          <w:rFonts w:cstheme="minorHAnsi"/>
          <w:b/>
        </w:rPr>
      </w:pPr>
      <w:r>
        <w:rPr>
          <w:rFonts w:cstheme="minorHAnsi"/>
          <w:b/>
        </w:rPr>
        <w:t xml:space="preserve">PROCES-VERBAL </w:t>
      </w:r>
    </w:p>
    <w:p w14:paraId="5575D386" w14:textId="77777777" w:rsidR="00CC392E" w:rsidRDefault="00CC392E" w:rsidP="00CC392E">
      <w:pPr>
        <w:jc w:val="center"/>
        <w:rPr>
          <w:rFonts w:cstheme="minorHAnsi"/>
          <w:b/>
        </w:rPr>
      </w:pPr>
      <w:r>
        <w:rPr>
          <w:rFonts w:cstheme="minorHAnsi"/>
          <w:b/>
        </w:rPr>
        <w:t xml:space="preserve">DU CONSEIL MUNICIPAL </w:t>
      </w:r>
    </w:p>
    <w:p w14:paraId="2440930C" w14:textId="63334A52" w:rsidR="00CC392E" w:rsidRDefault="00CC392E" w:rsidP="00CC392E">
      <w:pPr>
        <w:jc w:val="center"/>
        <w:rPr>
          <w:rFonts w:cstheme="minorHAnsi"/>
          <w:b/>
          <w:u w:val="single"/>
        </w:rPr>
      </w:pPr>
      <w:r>
        <w:rPr>
          <w:rFonts w:cstheme="minorHAnsi"/>
          <w:b/>
          <w:u w:val="single"/>
        </w:rPr>
        <w:t>Séance du 12 septembre 2019</w:t>
      </w:r>
    </w:p>
    <w:p w14:paraId="5C560541" w14:textId="77777777" w:rsidR="00CC392E" w:rsidRDefault="00CC392E" w:rsidP="00CC392E">
      <w:pPr>
        <w:jc w:val="center"/>
        <w:rPr>
          <w:rFonts w:cstheme="minorHAnsi"/>
        </w:rPr>
      </w:pPr>
    </w:p>
    <w:p w14:paraId="6B147CE8" w14:textId="72D7F049" w:rsidR="00CC392E" w:rsidRDefault="00CC392E" w:rsidP="00CC392E">
      <w:pPr>
        <w:jc w:val="both"/>
        <w:rPr>
          <w:rFonts w:cstheme="minorHAnsi"/>
        </w:rPr>
      </w:pPr>
      <w:r>
        <w:rPr>
          <w:rFonts w:cstheme="minorHAnsi"/>
        </w:rPr>
        <w:t>L’an deux mille dix-neuf, le jeudi 12 septembre, à vingt heures, le conseil municipal de la commune de Frontenay-Rohan-Rohan dûment convoqué le 4 septembre 2019, s’est réuni en session ordinaire dans la salle du conseil municipal, sous la présidence de Monsieur Bernard BARAUD, Maire.</w:t>
      </w:r>
    </w:p>
    <w:p w14:paraId="0C08B883" w14:textId="77777777" w:rsidR="00CC392E" w:rsidRDefault="00CC392E" w:rsidP="00CC392E">
      <w:pPr>
        <w:jc w:val="both"/>
        <w:rPr>
          <w:rFonts w:cstheme="minorHAnsi"/>
        </w:rPr>
      </w:pPr>
      <w:r>
        <w:rPr>
          <w:rFonts w:cstheme="minorHAnsi"/>
        </w:rPr>
        <w:t xml:space="preserve">Nombre de conseillers en exercice : </w:t>
      </w:r>
      <w:r>
        <w:rPr>
          <w:rFonts w:cstheme="minorHAnsi"/>
          <w:b/>
        </w:rPr>
        <w:t>20</w:t>
      </w:r>
    </w:p>
    <w:p w14:paraId="459B202E" w14:textId="29303FC7" w:rsidR="00CC392E" w:rsidRDefault="00CC392E" w:rsidP="00CC392E">
      <w:pPr>
        <w:jc w:val="both"/>
        <w:rPr>
          <w:rFonts w:cstheme="minorHAnsi"/>
        </w:rPr>
      </w:pPr>
      <w:r>
        <w:rPr>
          <w:rFonts w:cstheme="minorHAnsi"/>
        </w:rPr>
        <w:t xml:space="preserve">Nombre de membres présents :        </w:t>
      </w:r>
      <w:r>
        <w:rPr>
          <w:rFonts w:cstheme="minorHAnsi"/>
          <w:b/>
        </w:rPr>
        <w:t>14</w:t>
      </w:r>
    </w:p>
    <w:p w14:paraId="6B2E4D17" w14:textId="77777777" w:rsidR="00CC392E" w:rsidRDefault="00CC392E" w:rsidP="00CC392E">
      <w:pPr>
        <w:jc w:val="both"/>
        <w:rPr>
          <w:rFonts w:cstheme="minorHAnsi"/>
        </w:rPr>
      </w:pPr>
      <w:r>
        <w:rPr>
          <w:rFonts w:cstheme="minorHAnsi"/>
        </w:rPr>
        <w:t xml:space="preserve">Nombre de votants :                            </w:t>
      </w:r>
      <w:r>
        <w:rPr>
          <w:rFonts w:cstheme="minorHAnsi"/>
          <w:b/>
        </w:rPr>
        <w:t>16</w:t>
      </w:r>
    </w:p>
    <w:p w14:paraId="6A505706" w14:textId="407EE48C" w:rsidR="00CC392E" w:rsidRDefault="00CC392E" w:rsidP="00CC392E">
      <w:pPr>
        <w:jc w:val="both"/>
        <w:rPr>
          <w:rFonts w:cstheme="minorHAnsi"/>
        </w:rPr>
      </w:pPr>
      <w:r>
        <w:rPr>
          <w:rFonts w:cstheme="minorHAnsi"/>
          <w:b/>
        </w:rPr>
        <w:t>Présents</w:t>
      </w:r>
      <w:r>
        <w:rPr>
          <w:rFonts w:cstheme="minorHAnsi"/>
        </w:rPr>
        <w:t xml:space="preserve"> : Bernard BARAUD, Alain CHAUFFIER, Raymond CAILLETON, Sylvie BRUMELOT, Martine PEDROLA, Michel MAGNERON, Claude POUPINOT, Valérie MESNARD, Elisabeth DEGORCE, Olivier POIRAUD, Sandrine </w:t>
      </w:r>
      <w:r w:rsidR="00C265A0">
        <w:rPr>
          <w:rFonts w:cstheme="minorHAnsi"/>
        </w:rPr>
        <w:t>DOOLAEGHE, Stéphane</w:t>
      </w:r>
      <w:r>
        <w:rPr>
          <w:rFonts w:cstheme="minorHAnsi"/>
        </w:rPr>
        <w:t xml:space="preserve"> BARILLOT, Cyril RIGAUDEAU, Aurélia LAURENT.</w:t>
      </w:r>
    </w:p>
    <w:p w14:paraId="27278222" w14:textId="5A1FBA42" w:rsidR="00CC392E" w:rsidRDefault="00CC392E" w:rsidP="00CC392E">
      <w:pPr>
        <w:jc w:val="both"/>
        <w:rPr>
          <w:rFonts w:cstheme="minorHAnsi"/>
        </w:rPr>
      </w:pPr>
      <w:r>
        <w:rPr>
          <w:rFonts w:cstheme="minorHAnsi"/>
          <w:b/>
        </w:rPr>
        <w:t>Absents excusés</w:t>
      </w:r>
      <w:r>
        <w:rPr>
          <w:rFonts w:cstheme="minorHAnsi"/>
        </w:rPr>
        <w:t> : Thierry ALLEAU, Sonia THOMAS</w:t>
      </w:r>
    </w:p>
    <w:p w14:paraId="31B81CFB" w14:textId="27BE4061" w:rsidR="00CC392E" w:rsidRDefault="00CC392E" w:rsidP="00CC392E">
      <w:pPr>
        <w:jc w:val="both"/>
        <w:rPr>
          <w:rFonts w:cstheme="minorHAnsi"/>
        </w:rPr>
      </w:pPr>
      <w:r>
        <w:rPr>
          <w:rFonts w:cstheme="minorHAnsi"/>
          <w:b/>
        </w:rPr>
        <w:t>Absents non excusés</w:t>
      </w:r>
      <w:r>
        <w:rPr>
          <w:rFonts w:cstheme="minorHAnsi"/>
        </w:rPr>
        <w:t> : Brigitte BONNAUD-TOUCHARD, Laurent COCHELIN, Véronique GUIGNE, Pierrick CLEMENT.</w:t>
      </w:r>
    </w:p>
    <w:p w14:paraId="7F3C9FB9" w14:textId="44E1DBE9" w:rsidR="00CC392E" w:rsidRDefault="00CC392E" w:rsidP="00CC392E">
      <w:pPr>
        <w:jc w:val="both"/>
        <w:rPr>
          <w:rFonts w:cstheme="minorHAnsi"/>
        </w:rPr>
      </w:pPr>
      <w:r>
        <w:rPr>
          <w:rFonts w:cstheme="minorHAnsi"/>
          <w:b/>
        </w:rPr>
        <w:t>Procurations</w:t>
      </w:r>
      <w:r>
        <w:rPr>
          <w:rFonts w:cstheme="minorHAnsi"/>
        </w:rPr>
        <w:t> : Thierry ALLEAU à Alain CHAUFFIER, Sonia THOMAS à Aurélia LAURENT.</w:t>
      </w:r>
    </w:p>
    <w:p w14:paraId="53C8748A" w14:textId="0A4C8989" w:rsidR="00CC392E" w:rsidRDefault="00CC392E" w:rsidP="00CC392E">
      <w:pPr>
        <w:rPr>
          <w:rFonts w:cstheme="minorHAnsi"/>
        </w:rPr>
      </w:pPr>
      <w:r>
        <w:rPr>
          <w:rFonts w:cstheme="minorHAnsi"/>
          <w:b/>
        </w:rPr>
        <w:t>Secrétaires</w:t>
      </w:r>
      <w:r>
        <w:rPr>
          <w:rFonts w:cstheme="minorHAnsi"/>
        </w:rPr>
        <w:t> :  Martine PEDROLA, Olivier POIRAUD.</w:t>
      </w:r>
    </w:p>
    <w:p w14:paraId="3544F1DC" w14:textId="30FF5B64" w:rsidR="00CC392E" w:rsidRDefault="00CC392E" w:rsidP="00CC392E">
      <w:pPr>
        <w:rPr>
          <w:rFonts w:cstheme="minorHAnsi"/>
        </w:rPr>
      </w:pPr>
    </w:p>
    <w:p w14:paraId="4F61D655" w14:textId="7D997C38" w:rsidR="00CC392E" w:rsidRDefault="00C265A0" w:rsidP="00CC392E">
      <w:pPr>
        <w:rPr>
          <w:rFonts w:cstheme="minorHAnsi"/>
        </w:rPr>
      </w:pPr>
      <w:r>
        <w:rPr>
          <w:rFonts w:cstheme="minorHAnsi"/>
        </w:rPr>
        <w:t>La</w:t>
      </w:r>
      <w:r w:rsidR="00CC392E">
        <w:rPr>
          <w:rFonts w:cstheme="minorHAnsi"/>
        </w:rPr>
        <w:t xml:space="preserve"> séance commence par une présentation du Schéma de Cohérence Territoriale qui a </w:t>
      </w:r>
      <w:r w:rsidR="00135E66">
        <w:rPr>
          <w:rFonts w:cstheme="minorHAnsi"/>
        </w:rPr>
        <w:t xml:space="preserve">été arrêté par le conseil d’agglomération le 8 Juillet dernier. Cette présentation est faite par Monsieur Jacques BILLY, Maire de AIFFRES et vice-Président de Niort Agglo assisté de Messieurs Alexandre SOLER, Directeur de l’Aménagement Durable du Territoire et Franck DUFAU, chef de projet planification. </w:t>
      </w:r>
      <w:r>
        <w:rPr>
          <w:rFonts w:cstheme="minorHAnsi"/>
        </w:rPr>
        <w:t>Les</w:t>
      </w:r>
      <w:r w:rsidR="00135E66">
        <w:rPr>
          <w:rFonts w:cstheme="minorHAnsi"/>
        </w:rPr>
        <w:t xml:space="preserve"> orientations et objectifs sont également présentés au conseil municipal.</w:t>
      </w:r>
    </w:p>
    <w:p w14:paraId="39F55B78" w14:textId="14C2E496" w:rsidR="00B51983" w:rsidRDefault="00B51983" w:rsidP="00B51983">
      <w:pPr>
        <w:jc w:val="center"/>
      </w:pPr>
    </w:p>
    <w:p w14:paraId="13C807BE" w14:textId="2ACE7B41" w:rsidR="00B51983" w:rsidRPr="00F9372D" w:rsidRDefault="00B51983" w:rsidP="00B51983">
      <w:pPr>
        <w:jc w:val="both"/>
        <w:rPr>
          <w:b/>
          <w:bCs/>
        </w:rPr>
      </w:pPr>
      <w:r w:rsidRPr="00F9372D">
        <w:rPr>
          <w:b/>
          <w:bCs/>
        </w:rPr>
        <w:t xml:space="preserve">APPROBATION DU PROCES-VERBAL DU CONSEIL DU </w:t>
      </w:r>
      <w:r w:rsidR="00C265A0">
        <w:rPr>
          <w:b/>
          <w:bCs/>
        </w:rPr>
        <w:t>09</w:t>
      </w:r>
      <w:r w:rsidRPr="00F9372D">
        <w:rPr>
          <w:b/>
          <w:bCs/>
        </w:rPr>
        <w:t xml:space="preserve"> JUILLET 2019 </w:t>
      </w:r>
    </w:p>
    <w:p w14:paraId="3BD7C0F3" w14:textId="230E8715" w:rsidR="00135E66" w:rsidRDefault="00F56306" w:rsidP="00B51983">
      <w:pPr>
        <w:jc w:val="both"/>
      </w:pPr>
      <w:r>
        <w:t xml:space="preserve">Le conseil municipal est invité à se prononcer sur le procès-verbal du conseil du 11 juillet 2019 qui leur a été transmis avec le présent rapport de présentation </w:t>
      </w:r>
    </w:p>
    <w:p w14:paraId="7F6107FE" w14:textId="77777777" w:rsidR="00135E66" w:rsidRDefault="00135E66">
      <w:r>
        <w:br w:type="page"/>
      </w:r>
    </w:p>
    <w:p w14:paraId="6A1AD948" w14:textId="77777777" w:rsidR="00F56306" w:rsidRDefault="00F56306" w:rsidP="00B51983">
      <w:pPr>
        <w:jc w:val="both"/>
      </w:pPr>
    </w:p>
    <w:p w14:paraId="4D56AF50" w14:textId="6B472B1D" w:rsidR="00F56306" w:rsidRDefault="00920F4D" w:rsidP="00F56306">
      <w:pPr>
        <w:pBdr>
          <w:top w:val="single" w:sz="4" w:space="1" w:color="auto"/>
          <w:left w:val="single" w:sz="4" w:space="4" w:color="auto"/>
          <w:bottom w:val="single" w:sz="4" w:space="1" w:color="auto"/>
          <w:right w:val="single" w:sz="4" w:space="4" w:color="auto"/>
        </w:pBdr>
        <w:jc w:val="both"/>
      </w:pPr>
      <w:r>
        <w:t>P</w:t>
      </w:r>
      <w:r w:rsidR="00F56306">
        <w:t xml:space="preserve">our : </w:t>
      </w:r>
      <w:r w:rsidR="00CC392E">
        <w:t>16</w:t>
      </w:r>
    </w:p>
    <w:p w14:paraId="0F81B184" w14:textId="244DD952" w:rsidR="00F56306" w:rsidRDefault="00920F4D" w:rsidP="00F56306">
      <w:pPr>
        <w:pBdr>
          <w:top w:val="single" w:sz="4" w:space="1" w:color="auto"/>
          <w:left w:val="single" w:sz="4" w:space="4" w:color="auto"/>
          <w:bottom w:val="single" w:sz="4" w:space="1" w:color="auto"/>
          <w:right w:val="single" w:sz="4" w:space="4" w:color="auto"/>
        </w:pBdr>
        <w:jc w:val="both"/>
      </w:pPr>
      <w:r>
        <w:t>C</w:t>
      </w:r>
      <w:r w:rsidR="00F56306">
        <w:t xml:space="preserve">ontre : </w:t>
      </w:r>
      <w:r w:rsidR="00CC392E">
        <w:t>0</w:t>
      </w:r>
    </w:p>
    <w:p w14:paraId="193D1642" w14:textId="5996D3E9" w:rsidR="00F56306" w:rsidRDefault="00920F4D" w:rsidP="00F56306">
      <w:pPr>
        <w:pBdr>
          <w:top w:val="single" w:sz="4" w:space="1" w:color="auto"/>
          <w:left w:val="single" w:sz="4" w:space="4" w:color="auto"/>
          <w:bottom w:val="single" w:sz="4" w:space="1" w:color="auto"/>
          <w:right w:val="single" w:sz="4" w:space="4" w:color="auto"/>
        </w:pBdr>
        <w:jc w:val="both"/>
      </w:pPr>
      <w:r>
        <w:t>A</w:t>
      </w:r>
      <w:r w:rsidR="00F56306">
        <w:t xml:space="preserve">bstention : </w:t>
      </w:r>
      <w:r w:rsidR="00CC392E">
        <w:t>0</w:t>
      </w:r>
    </w:p>
    <w:p w14:paraId="4194BC6F" w14:textId="77777777" w:rsidR="0068753E" w:rsidRDefault="0068753E" w:rsidP="0068753E">
      <w:pPr>
        <w:jc w:val="both"/>
        <w:rPr>
          <w:b/>
          <w:bCs/>
        </w:rPr>
      </w:pPr>
      <w:r w:rsidRPr="00C87036">
        <w:rPr>
          <w:b/>
          <w:bCs/>
        </w:rPr>
        <w:t>AVIS DU CONSEIL MUNICIPAL SUR LE PROJET DE SCOT ARRETE PAR DELIBERATION DU CONSEIL D’AGGLOMERATION DE NIORT AGGLO LE 8 JUILLET 2019</w:t>
      </w:r>
    </w:p>
    <w:p w14:paraId="020DD50E" w14:textId="77777777" w:rsidR="0068753E" w:rsidRPr="005D482F" w:rsidRDefault="0068753E" w:rsidP="0068753E">
      <w:pPr>
        <w:jc w:val="both"/>
      </w:pPr>
      <w:r w:rsidRPr="005D482F">
        <w:t xml:space="preserve">Par délibération en date du 8 juillet 2019, le conseil d’agglomération du Niort Agglo a arrêté le projet de son schéma de cohérence territoriale </w:t>
      </w:r>
      <w:r>
        <w:t>(</w:t>
      </w:r>
      <w:r w:rsidRPr="005D482F">
        <w:t>SCoT).</w:t>
      </w:r>
    </w:p>
    <w:p w14:paraId="67B32EAF" w14:textId="77777777" w:rsidR="0068753E" w:rsidRDefault="0068753E" w:rsidP="0068753E">
      <w:pPr>
        <w:jc w:val="both"/>
      </w:pPr>
      <w:r w:rsidRPr="005D482F">
        <w:t>Conformément aux dispositions de l’article R.143-4 DU Code de l’Urbanism</w:t>
      </w:r>
      <w:r>
        <w:t>e</w:t>
      </w:r>
      <w:r w:rsidRPr="005D482F">
        <w:t>, le Conseil Municipal est invité à exprimer un avis sur ce projet de SCoT arrêté, cet avis étant réputé favorable s’il n’intervient pas dans les trois mois à compter de sa transmission</w:t>
      </w:r>
      <w:r>
        <w:t xml:space="preserve"> (</w:t>
      </w:r>
      <w:r w:rsidRPr="002F451B">
        <w:rPr>
          <w:i/>
          <w:iCs/>
        </w:rPr>
        <w:t>délibération fournie en pièce jointe</w:t>
      </w:r>
      <w:r>
        <w:t>).</w:t>
      </w:r>
    </w:p>
    <w:p w14:paraId="5AE0CAC0" w14:textId="373FB858" w:rsidR="0068753E" w:rsidRPr="005D482F" w:rsidRDefault="0068753E" w:rsidP="0068753E">
      <w:r w:rsidRPr="005D482F">
        <w:t xml:space="preserve">Monsieur le Maire demande donc au conseil municipal de se prononcer : </w:t>
      </w:r>
    </w:p>
    <w:p w14:paraId="7CCF0C3A" w14:textId="5B6E389F" w:rsidR="0068753E" w:rsidRPr="005D482F" w:rsidRDefault="0068753E" w:rsidP="0068753E">
      <w:pPr>
        <w:pBdr>
          <w:top w:val="single" w:sz="4" w:space="1" w:color="auto"/>
          <w:left w:val="single" w:sz="4" w:space="4" w:color="auto"/>
          <w:bottom w:val="single" w:sz="4" w:space="1" w:color="auto"/>
          <w:right w:val="single" w:sz="4" w:space="4" w:color="auto"/>
        </w:pBdr>
        <w:jc w:val="both"/>
      </w:pPr>
      <w:r>
        <w:t>P</w:t>
      </w:r>
      <w:r w:rsidRPr="005D482F">
        <w:t xml:space="preserve">our : </w:t>
      </w:r>
      <w:r w:rsidR="00135E66">
        <w:t>9</w:t>
      </w:r>
    </w:p>
    <w:p w14:paraId="2E14FD2A" w14:textId="2E7F042E" w:rsidR="0068753E" w:rsidRPr="005D482F" w:rsidRDefault="0068753E" w:rsidP="0068753E">
      <w:pPr>
        <w:pBdr>
          <w:top w:val="single" w:sz="4" w:space="1" w:color="auto"/>
          <w:left w:val="single" w:sz="4" w:space="4" w:color="auto"/>
          <w:bottom w:val="single" w:sz="4" w:space="1" w:color="auto"/>
          <w:right w:val="single" w:sz="4" w:space="4" w:color="auto"/>
        </w:pBdr>
        <w:jc w:val="both"/>
      </w:pPr>
      <w:r>
        <w:t>C</w:t>
      </w:r>
      <w:r w:rsidRPr="005D482F">
        <w:t xml:space="preserve">ontre : </w:t>
      </w:r>
      <w:r w:rsidR="00135E66">
        <w:t>2</w:t>
      </w:r>
    </w:p>
    <w:p w14:paraId="764103E7" w14:textId="59D01913" w:rsidR="0068753E" w:rsidRPr="0021330F" w:rsidRDefault="0068753E" w:rsidP="0068753E">
      <w:pPr>
        <w:pBdr>
          <w:top w:val="single" w:sz="4" w:space="1" w:color="auto"/>
          <w:left w:val="single" w:sz="4" w:space="4" w:color="auto"/>
          <w:bottom w:val="single" w:sz="4" w:space="1" w:color="auto"/>
          <w:right w:val="single" w:sz="4" w:space="4" w:color="auto"/>
        </w:pBdr>
        <w:jc w:val="both"/>
      </w:pPr>
      <w:r>
        <w:t>A</w:t>
      </w:r>
      <w:r w:rsidRPr="005D482F">
        <w:t xml:space="preserve">bstention : </w:t>
      </w:r>
      <w:r w:rsidR="00135E66">
        <w:t>5</w:t>
      </w:r>
    </w:p>
    <w:p w14:paraId="2394BFD7" w14:textId="1997CDC1" w:rsidR="00B51983" w:rsidRDefault="00B51983" w:rsidP="00B51983">
      <w:pPr>
        <w:jc w:val="both"/>
        <w:rPr>
          <w:b/>
          <w:bCs/>
        </w:rPr>
      </w:pPr>
      <w:r w:rsidRPr="00270D90">
        <w:rPr>
          <w:b/>
          <w:bCs/>
        </w:rPr>
        <w:t>DEMANDE ADHESION FONDATION</w:t>
      </w:r>
      <w:r w:rsidR="00270D90" w:rsidRPr="00270D90">
        <w:rPr>
          <w:b/>
          <w:bCs/>
        </w:rPr>
        <w:t xml:space="preserve"> </w:t>
      </w:r>
      <w:r w:rsidRPr="00270D90">
        <w:rPr>
          <w:b/>
          <w:bCs/>
        </w:rPr>
        <w:t>DU PATRIMOINE</w:t>
      </w:r>
    </w:p>
    <w:p w14:paraId="6FBD118B" w14:textId="56B83886" w:rsidR="00270D90" w:rsidRPr="00760590" w:rsidRDefault="00132561" w:rsidP="00B51983">
      <w:pPr>
        <w:jc w:val="both"/>
      </w:pPr>
      <w:r w:rsidRPr="00760590">
        <w:t>L</w:t>
      </w:r>
      <w:r w:rsidR="00270D90" w:rsidRPr="00760590">
        <w:t>a fondation du patrimoine propose une adhésion aux communes afin de soutenir son action</w:t>
      </w:r>
      <w:r w:rsidRPr="00760590">
        <w:t>. Cette structure est chargée par l’Etat de révéler et de promouvoir le désir du public de protéger, voire de sauver de la ruine le petit patrimoine non classé ou non inscrit</w:t>
      </w:r>
      <w:r w:rsidR="00760590" w:rsidRPr="00760590">
        <w:t>, en organisant des opérations de mécénat ou des appels aux dons.</w:t>
      </w:r>
    </w:p>
    <w:p w14:paraId="1844F239" w14:textId="1EAF4764" w:rsidR="00760590" w:rsidRPr="00760590" w:rsidRDefault="00760590" w:rsidP="00B51983">
      <w:pPr>
        <w:jc w:val="both"/>
      </w:pPr>
      <w:r w:rsidRPr="00760590">
        <w:t>Le montant de l’adhésion pour une commune de moins de 3 000 habitants est de 160.00 €</w:t>
      </w:r>
    </w:p>
    <w:p w14:paraId="0AC333CA" w14:textId="34C5D650" w:rsidR="00760590" w:rsidRPr="00760590" w:rsidRDefault="00760590" w:rsidP="00B51983">
      <w:pPr>
        <w:jc w:val="both"/>
      </w:pPr>
      <w:r w:rsidRPr="00760590">
        <w:t xml:space="preserve">Monsieur le Maire demande au conseil municipal de </w:t>
      </w:r>
      <w:r w:rsidR="000D3C83">
        <w:t xml:space="preserve">refuser cette </w:t>
      </w:r>
      <w:r w:rsidRPr="00760590">
        <w:t>adhésion</w:t>
      </w:r>
      <w:r w:rsidR="000D3C83">
        <w:t xml:space="preserve"> comme les années précédentes.</w:t>
      </w:r>
    </w:p>
    <w:p w14:paraId="344A554D" w14:textId="124CB3C2" w:rsidR="00760590" w:rsidRDefault="00920F4D" w:rsidP="00760590">
      <w:pPr>
        <w:pBdr>
          <w:top w:val="single" w:sz="4" w:space="1" w:color="auto"/>
          <w:left w:val="single" w:sz="4" w:space="4" w:color="auto"/>
          <w:bottom w:val="single" w:sz="4" w:space="1" w:color="auto"/>
          <w:right w:val="single" w:sz="4" w:space="4" w:color="auto"/>
        </w:pBdr>
        <w:jc w:val="both"/>
      </w:pPr>
      <w:r>
        <w:t>P</w:t>
      </w:r>
      <w:r w:rsidR="00760590">
        <w:t xml:space="preserve">our : </w:t>
      </w:r>
      <w:r w:rsidR="00135E66">
        <w:t>16</w:t>
      </w:r>
    </w:p>
    <w:p w14:paraId="22B73022" w14:textId="2398DB6A" w:rsidR="00760590" w:rsidRDefault="00920F4D" w:rsidP="00760590">
      <w:pPr>
        <w:pBdr>
          <w:top w:val="single" w:sz="4" w:space="1" w:color="auto"/>
          <w:left w:val="single" w:sz="4" w:space="4" w:color="auto"/>
          <w:bottom w:val="single" w:sz="4" w:space="1" w:color="auto"/>
          <w:right w:val="single" w:sz="4" w:space="4" w:color="auto"/>
        </w:pBdr>
        <w:jc w:val="both"/>
      </w:pPr>
      <w:r>
        <w:t>C</w:t>
      </w:r>
      <w:r w:rsidR="00760590">
        <w:t xml:space="preserve">ontre : </w:t>
      </w:r>
      <w:r w:rsidR="00135E66">
        <w:t>0</w:t>
      </w:r>
    </w:p>
    <w:p w14:paraId="0111C0DA" w14:textId="3A26455A" w:rsidR="00760590" w:rsidRPr="00760590" w:rsidRDefault="00920F4D" w:rsidP="00760590">
      <w:pPr>
        <w:pBdr>
          <w:top w:val="single" w:sz="4" w:space="1" w:color="auto"/>
          <w:left w:val="single" w:sz="4" w:space="4" w:color="auto"/>
          <w:bottom w:val="single" w:sz="4" w:space="1" w:color="auto"/>
          <w:right w:val="single" w:sz="4" w:space="4" w:color="auto"/>
        </w:pBdr>
        <w:jc w:val="both"/>
      </w:pPr>
      <w:r>
        <w:t>A</w:t>
      </w:r>
      <w:r w:rsidR="00760590">
        <w:t xml:space="preserve">bstention : </w:t>
      </w:r>
      <w:r w:rsidR="00135E66">
        <w:t>0</w:t>
      </w:r>
    </w:p>
    <w:p w14:paraId="52B46F30" w14:textId="0C4E93B2" w:rsidR="00B51983" w:rsidRPr="00473FC2" w:rsidRDefault="00B51983" w:rsidP="00B51983">
      <w:pPr>
        <w:jc w:val="both"/>
        <w:rPr>
          <w:b/>
          <w:bCs/>
        </w:rPr>
      </w:pPr>
      <w:r w:rsidRPr="00473FC2">
        <w:rPr>
          <w:b/>
          <w:bCs/>
        </w:rPr>
        <w:t>CONVENTION DE PARTENARIAT AIPEMP</w:t>
      </w:r>
    </w:p>
    <w:p w14:paraId="3D84CB09" w14:textId="52B618DB" w:rsidR="00760590" w:rsidRDefault="00473FC2" w:rsidP="00B51983">
      <w:pPr>
        <w:jc w:val="both"/>
      </w:pPr>
      <w:r>
        <w:t>M</w:t>
      </w:r>
      <w:r w:rsidR="00760590">
        <w:t>onsieur le Maire demande au conseil municipal de l’autoriser à signer une nouvelle convention de partenariat avec l’AIPEMP (Association pour l’Insertion par la Protection et l’Entretien du Marais Poitevin)</w:t>
      </w:r>
      <w:r>
        <w:t>.</w:t>
      </w:r>
    </w:p>
    <w:p w14:paraId="13978B3A" w14:textId="0C3F6D74" w:rsidR="00473FC2" w:rsidRDefault="00473FC2" w:rsidP="00B51983">
      <w:pPr>
        <w:jc w:val="both"/>
      </w:pPr>
      <w:r>
        <w:t>L’association accompagne les demandeurs d’emploi, résidents sur le territoire et rencontrant des difficultés d’exclusion. La convention définit les modalités de la contribution financière de la commune, pour soutenir le fonctionnement de l’association. Le montant de la participation pour 2019 est fixé à 1 504.00 €.</w:t>
      </w:r>
    </w:p>
    <w:p w14:paraId="7856A2A0" w14:textId="68EEC8DC" w:rsidR="00135E66" w:rsidRDefault="00473FC2" w:rsidP="00B51983">
      <w:pPr>
        <w:jc w:val="both"/>
      </w:pPr>
      <w:r>
        <w:t>Monsieur le Maire demande au conseil municipal de l’autoriser à signer cette convention conclue pour un an du 1</w:t>
      </w:r>
      <w:r w:rsidRPr="00473FC2">
        <w:rPr>
          <w:vertAlign w:val="superscript"/>
        </w:rPr>
        <w:t>er</w:t>
      </w:r>
      <w:r>
        <w:t xml:space="preserve"> janvier au 31 décembre 2019.</w:t>
      </w:r>
    </w:p>
    <w:p w14:paraId="1189A795" w14:textId="6E34B6C6" w:rsidR="00473FC2" w:rsidRDefault="00473FC2" w:rsidP="00135E66"/>
    <w:p w14:paraId="0245E2EF" w14:textId="084EC962" w:rsidR="00473FC2" w:rsidRDefault="00920F4D" w:rsidP="00473FC2">
      <w:pPr>
        <w:pBdr>
          <w:top w:val="single" w:sz="4" w:space="1" w:color="auto"/>
          <w:left w:val="single" w:sz="4" w:space="4" w:color="auto"/>
          <w:bottom w:val="single" w:sz="4" w:space="1" w:color="auto"/>
          <w:right w:val="single" w:sz="4" w:space="4" w:color="auto"/>
        </w:pBdr>
        <w:jc w:val="both"/>
      </w:pPr>
      <w:r>
        <w:lastRenderedPageBreak/>
        <w:t>P</w:t>
      </w:r>
      <w:r w:rsidR="00473FC2">
        <w:t xml:space="preserve">our : </w:t>
      </w:r>
      <w:r w:rsidR="00135E66">
        <w:t>16</w:t>
      </w:r>
    </w:p>
    <w:p w14:paraId="4E1F8A12" w14:textId="2E1D801C" w:rsidR="00473FC2" w:rsidRDefault="00920F4D" w:rsidP="00473FC2">
      <w:pPr>
        <w:pBdr>
          <w:top w:val="single" w:sz="4" w:space="1" w:color="auto"/>
          <w:left w:val="single" w:sz="4" w:space="4" w:color="auto"/>
          <w:bottom w:val="single" w:sz="4" w:space="1" w:color="auto"/>
          <w:right w:val="single" w:sz="4" w:space="4" w:color="auto"/>
        </w:pBdr>
        <w:jc w:val="both"/>
      </w:pPr>
      <w:r>
        <w:t>C</w:t>
      </w:r>
      <w:r w:rsidR="00473FC2">
        <w:t xml:space="preserve">ontre : </w:t>
      </w:r>
      <w:r w:rsidR="00135E66">
        <w:t>0</w:t>
      </w:r>
    </w:p>
    <w:p w14:paraId="2B00A491" w14:textId="5F4553D6" w:rsidR="00473FC2" w:rsidRDefault="00920F4D" w:rsidP="00473FC2">
      <w:pPr>
        <w:pBdr>
          <w:top w:val="single" w:sz="4" w:space="1" w:color="auto"/>
          <w:left w:val="single" w:sz="4" w:space="4" w:color="auto"/>
          <w:bottom w:val="single" w:sz="4" w:space="1" w:color="auto"/>
          <w:right w:val="single" w:sz="4" w:space="4" w:color="auto"/>
        </w:pBdr>
        <w:jc w:val="both"/>
      </w:pPr>
      <w:r>
        <w:t>A</w:t>
      </w:r>
      <w:r w:rsidR="00473FC2">
        <w:t xml:space="preserve">bstention : </w:t>
      </w:r>
      <w:r w:rsidR="00135E66">
        <w:t>0</w:t>
      </w:r>
    </w:p>
    <w:p w14:paraId="5B4507B7" w14:textId="77777777" w:rsidR="00473FC2" w:rsidRDefault="00473FC2" w:rsidP="00B51983">
      <w:pPr>
        <w:jc w:val="both"/>
      </w:pPr>
    </w:p>
    <w:p w14:paraId="7AD7D274" w14:textId="00B28127" w:rsidR="00B51983" w:rsidRPr="00554ABF" w:rsidRDefault="00B51983" w:rsidP="00B51983">
      <w:pPr>
        <w:jc w:val="both"/>
        <w:rPr>
          <w:b/>
          <w:bCs/>
        </w:rPr>
      </w:pPr>
      <w:r w:rsidRPr="00554ABF">
        <w:rPr>
          <w:b/>
          <w:bCs/>
        </w:rPr>
        <w:t>TARIFICATION RESTAURATION SCOLAIRE POUR APPRENTI</w:t>
      </w:r>
    </w:p>
    <w:p w14:paraId="65BF4974" w14:textId="77777777" w:rsidR="00D0454B" w:rsidRDefault="00D0454B" w:rsidP="00B51983">
      <w:pPr>
        <w:jc w:val="both"/>
      </w:pPr>
      <w:r>
        <w:t xml:space="preserve">Monsieur le Maire rappelle au conseil municipal que, par délibération du 15.11.2018, les tarifs de la cantine et de la garderie ont été revus. Ils ont été fixés à : </w:t>
      </w:r>
    </w:p>
    <w:tbl>
      <w:tblPr>
        <w:tblStyle w:val="Grilledutableau"/>
        <w:tblW w:w="0" w:type="auto"/>
        <w:tblLook w:val="04A0" w:firstRow="1" w:lastRow="0" w:firstColumn="1" w:lastColumn="0" w:noHBand="0" w:noVBand="1"/>
      </w:tblPr>
      <w:tblGrid>
        <w:gridCol w:w="2919"/>
        <w:gridCol w:w="2937"/>
        <w:gridCol w:w="2921"/>
      </w:tblGrid>
      <w:tr w:rsidR="00D0454B" w14:paraId="1396F07B" w14:textId="77777777" w:rsidTr="00D0454B">
        <w:tc>
          <w:tcPr>
            <w:tcW w:w="3020" w:type="dxa"/>
          </w:tcPr>
          <w:p w14:paraId="735E44C6" w14:textId="656BCF7E" w:rsidR="00D0454B" w:rsidRDefault="00D0454B" w:rsidP="00B51983">
            <w:pPr>
              <w:jc w:val="both"/>
            </w:pPr>
            <w:r>
              <w:t>QF1</w:t>
            </w:r>
          </w:p>
        </w:tc>
        <w:tc>
          <w:tcPr>
            <w:tcW w:w="3021" w:type="dxa"/>
          </w:tcPr>
          <w:p w14:paraId="0281545F" w14:textId="03EB77A9" w:rsidR="00D0454B" w:rsidRDefault="00D0454B" w:rsidP="00921B01">
            <w:pPr>
              <w:jc w:val="center"/>
            </w:pPr>
            <w:r>
              <w:t>0 à 550.00 €</w:t>
            </w:r>
          </w:p>
        </w:tc>
        <w:tc>
          <w:tcPr>
            <w:tcW w:w="3021" w:type="dxa"/>
          </w:tcPr>
          <w:p w14:paraId="368E7E7A" w14:textId="27A8286A" w:rsidR="00D0454B" w:rsidRDefault="00D0454B" w:rsidP="00921B01">
            <w:pPr>
              <w:jc w:val="right"/>
            </w:pPr>
            <w:r>
              <w:t>2.20</w:t>
            </w:r>
          </w:p>
        </w:tc>
      </w:tr>
      <w:tr w:rsidR="00D0454B" w14:paraId="1BD1E788" w14:textId="77777777" w:rsidTr="00D0454B">
        <w:tc>
          <w:tcPr>
            <w:tcW w:w="3020" w:type="dxa"/>
          </w:tcPr>
          <w:p w14:paraId="20946737" w14:textId="47B1124D" w:rsidR="00D0454B" w:rsidRDefault="00D0454B" w:rsidP="00B51983">
            <w:pPr>
              <w:jc w:val="both"/>
            </w:pPr>
            <w:r>
              <w:t>QF2</w:t>
            </w:r>
          </w:p>
        </w:tc>
        <w:tc>
          <w:tcPr>
            <w:tcW w:w="3021" w:type="dxa"/>
          </w:tcPr>
          <w:p w14:paraId="78487C39" w14:textId="01725A2E" w:rsidR="00D0454B" w:rsidRDefault="00D0454B" w:rsidP="00921B01">
            <w:pPr>
              <w:jc w:val="center"/>
            </w:pPr>
            <w:r>
              <w:t>551.00 € à 770.00 €</w:t>
            </w:r>
          </w:p>
        </w:tc>
        <w:tc>
          <w:tcPr>
            <w:tcW w:w="3021" w:type="dxa"/>
          </w:tcPr>
          <w:p w14:paraId="0FD28F58" w14:textId="2F60290C" w:rsidR="00D0454B" w:rsidRDefault="00D0454B" w:rsidP="00921B01">
            <w:pPr>
              <w:jc w:val="right"/>
            </w:pPr>
            <w:r>
              <w:t>2.63</w:t>
            </w:r>
          </w:p>
        </w:tc>
      </w:tr>
      <w:tr w:rsidR="00D0454B" w14:paraId="626C0FE6" w14:textId="77777777" w:rsidTr="00D0454B">
        <w:tc>
          <w:tcPr>
            <w:tcW w:w="3020" w:type="dxa"/>
          </w:tcPr>
          <w:p w14:paraId="5EAC0799" w14:textId="65D48AB9" w:rsidR="00D0454B" w:rsidRDefault="00D0454B" w:rsidP="00B51983">
            <w:pPr>
              <w:jc w:val="both"/>
            </w:pPr>
            <w:r>
              <w:t>QF3</w:t>
            </w:r>
          </w:p>
        </w:tc>
        <w:tc>
          <w:tcPr>
            <w:tcW w:w="3021" w:type="dxa"/>
          </w:tcPr>
          <w:p w14:paraId="08AC6575" w14:textId="65465865" w:rsidR="00D0454B" w:rsidRDefault="00D0454B" w:rsidP="00921B01">
            <w:pPr>
              <w:jc w:val="center"/>
            </w:pPr>
            <w:r>
              <w:t>771.00 € à 990.00 €</w:t>
            </w:r>
          </w:p>
        </w:tc>
        <w:tc>
          <w:tcPr>
            <w:tcW w:w="3021" w:type="dxa"/>
          </w:tcPr>
          <w:p w14:paraId="58BCEA0E" w14:textId="70A9553B" w:rsidR="00D0454B" w:rsidRDefault="00D0454B" w:rsidP="00921B01">
            <w:pPr>
              <w:jc w:val="right"/>
            </w:pPr>
            <w:r>
              <w:t>2.84</w:t>
            </w:r>
          </w:p>
        </w:tc>
      </w:tr>
      <w:tr w:rsidR="00D0454B" w14:paraId="08517C07" w14:textId="77777777" w:rsidTr="00D0454B">
        <w:tc>
          <w:tcPr>
            <w:tcW w:w="3020" w:type="dxa"/>
          </w:tcPr>
          <w:p w14:paraId="66AACB36" w14:textId="201BD4E8" w:rsidR="00D0454B" w:rsidRDefault="00D0454B" w:rsidP="00B51983">
            <w:pPr>
              <w:jc w:val="both"/>
            </w:pPr>
            <w:r>
              <w:t>QF4</w:t>
            </w:r>
          </w:p>
        </w:tc>
        <w:tc>
          <w:tcPr>
            <w:tcW w:w="3021" w:type="dxa"/>
          </w:tcPr>
          <w:p w14:paraId="4142BC98" w14:textId="56579CDB" w:rsidR="00D0454B" w:rsidRDefault="00D0454B" w:rsidP="00921B01">
            <w:pPr>
              <w:jc w:val="center"/>
            </w:pPr>
            <w:r>
              <w:t>991.00 € à 1 100.00 €</w:t>
            </w:r>
          </w:p>
        </w:tc>
        <w:tc>
          <w:tcPr>
            <w:tcW w:w="3021" w:type="dxa"/>
          </w:tcPr>
          <w:p w14:paraId="3849F53A" w14:textId="1487A3EC" w:rsidR="00D0454B" w:rsidRDefault="00D0454B" w:rsidP="00921B01">
            <w:pPr>
              <w:jc w:val="right"/>
            </w:pPr>
            <w:r>
              <w:t>2.94</w:t>
            </w:r>
          </w:p>
        </w:tc>
      </w:tr>
      <w:tr w:rsidR="00D0454B" w14:paraId="069FECB2" w14:textId="77777777" w:rsidTr="00D0454B">
        <w:tc>
          <w:tcPr>
            <w:tcW w:w="3020" w:type="dxa"/>
          </w:tcPr>
          <w:p w14:paraId="390FD6BC" w14:textId="78D761D4" w:rsidR="00D0454B" w:rsidRDefault="00D0454B" w:rsidP="00B51983">
            <w:pPr>
              <w:jc w:val="both"/>
            </w:pPr>
            <w:r>
              <w:t>QF5</w:t>
            </w:r>
          </w:p>
        </w:tc>
        <w:tc>
          <w:tcPr>
            <w:tcW w:w="3021" w:type="dxa"/>
          </w:tcPr>
          <w:p w14:paraId="2FADBAFF" w14:textId="01C748EE" w:rsidR="00D0454B" w:rsidRDefault="00D0454B" w:rsidP="00921B01">
            <w:pPr>
              <w:jc w:val="center"/>
            </w:pPr>
            <w:r>
              <w:t>1 101.00 €</w:t>
            </w:r>
          </w:p>
        </w:tc>
        <w:tc>
          <w:tcPr>
            <w:tcW w:w="3021" w:type="dxa"/>
          </w:tcPr>
          <w:p w14:paraId="36EB942A" w14:textId="6F790612" w:rsidR="00D0454B" w:rsidRDefault="00D0454B" w:rsidP="00921B01">
            <w:pPr>
              <w:jc w:val="right"/>
            </w:pPr>
            <w:r>
              <w:t>3.15</w:t>
            </w:r>
          </w:p>
        </w:tc>
      </w:tr>
      <w:tr w:rsidR="0055376F" w14:paraId="25730CD2" w14:textId="77777777" w:rsidTr="005D482F">
        <w:tc>
          <w:tcPr>
            <w:tcW w:w="6041" w:type="dxa"/>
            <w:gridSpan w:val="2"/>
          </w:tcPr>
          <w:p w14:paraId="2C54E142" w14:textId="605B4132" w:rsidR="0055376F" w:rsidRDefault="0055376F" w:rsidP="00B51983">
            <w:pPr>
              <w:jc w:val="both"/>
            </w:pPr>
            <w:r>
              <w:t>DEMANDEURS D’ASILE</w:t>
            </w:r>
          </w:p>
        </w:tc>
        <w:tc>
          <w:tcPr>
            <w:tcW w:w="3021" w:type="dxa"/>
          </w:tcPr>
          <w:p w14:paraId="4F525AD2" w14:textId="046A5EB0" w:rsidR="0055376F" w:rsidRDefault="0055376F" w:rsidP="00921B01">
            <w:pPr>
              <w:jc w:val="right"/>
            </w:pPr>
            <w:r>
              <w:t>2.20</w:t>
            </w:r>
          </w:p>
        </w:tc>
      </w:tr>
      <w:tr w:rsidR="0055376F" w14:paraId="27658B72" w14:textId="77777777" w:rsidTr="005D482F">
        <w:tc>
          <w:tcPr>
            <w:tcW w:w="6041" w:type="dxa"/>
            <w:gridSpan w:val="2"/>
          </w:tcPr>
          <w:p w14:paraId="58B6231A" w14:textId="48011A01" w:rsidR="0055376F" w:rsidRDefault="0055376F" w:rsidP="00B51983">
            <w:pPr>
              <w:jc w:val="both"/>
            </w:pPr>
            <w:r>
              <w:t>AGENTS DE LA CANTINE</w:t>
            </w:r>
          </w:p>
        </w:tc>
        <w:tc>
          <w:tcPr>
            <w:tcW w:w="3021" w:type="dxa"/>
          </w:tcPr>
          <w:p w14:paraId="5E6D6FC4" w14:textId="2B8AB471" w:rsidR="0055376F" w:rsidRDefault="0055376F" w:rsidP="00921B01">
            <w:pPr>
              <w:jc w:val="right"/>
            </w:pPr>
            <w:r>
              <w:t>2.84</w:t>
            </w:r>
          </w:p>
        </w:tc>
      </w:tr>
      <w:tr w:rsidR="0055376F" w14:paraId="7F7035AB" w14:textId="77777777" w:rsidTr="005D482F">
        <w:tc>
          <w:tcPr>
            <w:tcW w:w="6041" w:type="dxa"/>
            <w:gridSpan w:val="2"/>
          </w:tcPr>
          <w:p w14:paraId="7DF55162" w14:textId="48FED206" w:rsidR="0055376F" w:rsidRDefault="0055376F" w:rsidP="00B51983">
            <w:pPr>
              <w:jc w:val="both"/>
            </w:pPr>
            <w:r>
              <w:t>AUTRES AGENTS ET ENSEIGNANTS</w:t>
            </w:r>
          </w:p>
        </w:tc>
        <w:tc>
          <w:tcPr>
            <w:tcW w:w="3021" w:type="dxa"/>
          </w:tcPr>
          <w:p w14:paraId="47400E45" w14:textId="738D76AB" w:rsidR="0055376F" w:rsidRDefault="0055376F" w:rsidP="00921B01">
            <w:pPr>
              <w:jc w:val="right"/>
            </w:pPr>
            <w:r>
              <w:t>5.46</w:t>
            </w:r>
          </w:p>
        </w:tc>
      </w:tr>
    </w:tbl>
    <w:p w14:paraId="5B1167BE" w14:textId="150E617B" w:rsidR="00D0454B" w:rsidRDefault="00D0454B" w:rsidP="00B51983">
      <w:pPr>
        <w:jc w:val="both"/>
      </w:pPr>
      <w:r>
        <w:t xml:space="preserve"> </w:t>
      </w:r>
    </w:p>
    <w:p w14:paraId="63BE59C3" w14:textId="4208EFCD" w:rsidR="00921B01" w:rsidRDefault="00921B01" w:rsidP="00B51983">
      <w:pPr>
        <w:jc w:val="both"/>
      </w:pPr>
      <w:r>
        <w:t>Une apprentie a été recrutée au 1</w:t>
      </w:r>
      <w:r w:rsidRPr="00921B01">
        <w:rPr>
          <w:vertAlign w:val="superscript"/>
        </w:rPr>
        <w:t>er</w:t>
      </w:r>
      <w:r>
        <w:t xml:space="preserve"> septembre pour une durée de deux ans. Son temps de travail est de 35 heures par semaine. </w:t>
      </w:r>
      <w:r w:rsidR="00C640C8">
        <w:t>S</w:t>
      </w:r>
      <w:r>
        <w:t>on salaire brut, pour la première année est de 410.73 € par mois.</w:t>
      </w:r>
    </w:p>
    <w:p w14:paraId="2125FC4E" w14:textId="18259698" w:rsidR="00921B01" w:rsidRDefault="00921B01" w:rsidP="00B51983">
      <w:pPr>
        <w:jc w:val="both"/>
      </w:pPr>
      <w:r>
        <w:t xml:space="preserve">Monsieur le Maire propose au Conseil Municipal d’appliquer le tarif </w:t>
      </w:r>
      <w:r w:rsidR="000D3C83">
        <w:t xml:space="preserve">le plus bas, </w:t>
      </w:r>
      <w:r w:rsidR="00C640C8">
        <w:t>soit 2.20 €</w:t>
      </w:r>
    </w:p>
    <w:p w14:paraId="1619D34B" w14:textId="71070AEB" w:rsidR="00C640C8" w:rsidRDefault="00920F4D" w:rsidP="00C640C8">
      <w:pPr>
        <w:pBdr>
          <w:top w:val="single" w:sz="4" w:space="1" w:color="auto"/>
          <w:left w:val="single" w:sz="4" w:space="4" w:color="auto"/>
          <w:bottom w:val="single" w:sz="4" w:space="1" w:color="auto"/>
          <w:right w:val="single" w:sz="4" w:space="4" w:color="auto"/>
        </w:pBdr>
        <w:jc w:val="both"/>
      </w:pPr>
      <w:r>
        <w:t>P</w:t>
      </w:r>
      <w:r w:rsidR="00C640C8">
        <w:t xml:space="preserve">our : </w:t>
      </w:r>
      <w:r w:rsidR="00135E66">
        <w:t>15</w:t>
      </w:r>
    </w:p>
    <w:p w14:paraId="77CB9219" w14:textId="49746FBA" w:rsidR="00C640C8" w:rsidRDefault="00920F4D" w:rsidP="00C640C8">
      <w:pPr>
        <w:pBdr>
          <w:top w:val="single" w:sz="4" w:space="1" w:color="auto"/>
          <w:left w:val="single" w:sz="4" w:space="4" w:color="auto"/>
          <w:bottom w:val="single" w:sz="4" w:space="1" w:color="auto"/>
          <w:right w:val="single" w:sz="4" w:space="4" w:color="auto"/>
        </w:pBdr>
        <w:jc w:val="both"/>
      </w:pPr>
      <w:r>
        <w:t>C</w:t>
      </w:r>
      <w:r w:rsidR="00C640C8">
        <w:t xml:space="preserve">ontre : </w:t>
      </w:r>
      <w:r w:rsidR="00135E66">
        <w:t>1</w:t>
      </w:r>
    </w:p>
    <w:p w14:paraId="57B0CF94" w14:textId="12EEFE2D" w:rsidR="00C640C8" w:rsidRPr="00760590" w:rsidRDefault="00920F4D" w:rsidP="00C640C8">
      <w:pPr>
        <w:pBdr>
          <w:top w:val="single" w:sz="4" w:space="1" w:color="auto"/>
          <w:left w:val="single" w:sz="4" w:space="4" w:color="auto"/>
          <w:bottom w:val="single" w:sz="4" w:space="1" w:color="auto"/>
          <w:right w:val="single" w:sz="4" w:space="4" w:color="auto"/>
        </w:pBdr>
        <w:jc w:val="both"/>
      </w:pPr>
      <w:r>
        <w:t>A</w:t>
      </w:r>
      <w:r w:rsidR="00C640C8">
        <w:t xml:space="preserve">bstention : </w:t>
      </w:r>
      <w:r w:rsidR="00135E66">
        <w:t>0</w:t>
      </w:r>
    </w:p>
    <w:p w14:paraId="08199ECC" w14:textId="77777777" w:rsidR="00C640C8" w:rsidRDefault="00C640C8" w:rsidP="00B51983">
      <w:pPr>
        <w:jc w:val="both"/>
      </w:pPr>
    </w:p>
    <w:p w14:paraId="4F5013C0" w14:textId="40C5EFAF" w:rsidR="00B51983" w:rsidRPr="00F90E51" w:rsidRDefault="00B51983" w:rsidP="00B51983">
      <w:pPr>
        <w:jc w:val="both"/>
        <w:rPr>
          <w:b/>
          <w:bCs/>
        </w:rPr>
      </w:pPr>
      <w:r w:rsidRPr="00F90E51">
        <w:rPr>
          <w:b/>
          <w:bCs/>
        </w:rPr>
        <w:t>ADHESION AU NOUVEAU CONTRAT ASSURANCE DES RISQUES STATUTAIRES</w:t>
      </w:r>
    </w:p>
    <w:p w14:paraId="0488DC3A" w14:textId="7F8053BD" w:rsidR="003B1FDB" w:rsidRDefault="003B1FDB" w:rsidP="00B51983">
      <w:pPr>
        <w:jc w:val="both"/>
      </w:pPr>
      <w:r>
        <w:t xml:space="preserve">Monsieur </w:t>
      </w:r>
      <w:r w:rsidR="0055376F">
        <w:t xml:space="preserve">le Maire rappelle au conseil municipal que le contrat d’assurance </w:t>
      </w:r>
      <w:r w:rsidR="005B7FB9">
        <w:t>des risques statutaires arrive à échéance le 31.12.2019.</w:t>
      </w:r>
      <w:r w:rsidR="00A353EF">
        <w:t xml:space="preserve"> </w:t>
      </w:r>
      <w:r w:rsidR="00F90E51">
        <w:t>U</w:t>
      </w:r>
      <w:r w:rsidR="00A353EF">
        <w:t>ne consultation est en cours à laquelle la commune s’est associée.</w:t>
      </w:r>
    </w:p>
    <w:p w14:paraId="3C8C55CA" w14:textId="6EEDFEEB" w:rsidR="00A353EF" w:rsidRDefault="00F90E51" w:rsidP="00B51983">
      <w:pPr>
        <w:jc w:val="both"/>
      </w:pPr>
      <w:r>
        <w:t>A</w:t>
      </w:r>
      <w:r w:rsidR="00A353EF">
        <w:t>près négociation</w:t>
      </w:r>
      <w:r w:rsidR="00EE701B">
        <w:t xml:space="preserve"> par le centre de gestion (CDG79)</w:t>
      </w:r>
      <w:r w:rsidR="00A353EF">
        <w:t xml:space="preserve"> avec trois compagnies d’assurances et l’appui d’un cabinet d’experts, la commission d’appel d’offres</w:t>
      </w:r>
      <w:r w:rsidR="00EE701B">
        <w:t xml:space="preserve"> du CENTRE DE </w:t>
      </w:r>
      <w:r w:rsidR="00C265A0">
        <w:t>GESTION, réunie</w:t>
      </w:r>
      <w:r w:rsidR="00A353EF">
        <w:t xml:space="preserve"> le 26 juin 2019 a retenu CNP ASSURANCES ET SON COURTIER SOFAXIS.</w:t>
      </w:r>
    </w:p>
    <w:p w14:paraId="67E3EF2D" w14:textId="67B28C1F" w:rsidR="00A353EF" w:rsidRDefault="00A353EF" w:rsidP="00B51983">
      <w:pPr>
        <w:jc w:val="both"/>
      </w:pPr>
      <w:r>
        <w:t>La commune reste libre d’adhérer ou non au nouveau contrat qui sera</w:t>
      </w:r>
      <w:r w:rsidR="00F90E51">
        <w:t xml:space="preserve"> effectif à partir du 1</w:t>
      </w:r>
      <w:r w:rsidR="00F90E51" w:rsidRPr="00F90E51">
        <w:rPr>
          <w:vertAlign w:val="superscript"/>
        </w:rPr>
        <w:t>er</w:t>
      </w:r>
      <w:r w:rsidR="00F90E51">
        <w:t xml:space="preserve"> janvier 2020.</w:t>
      </w:r>
    </w:p>
    <w:p w14:paraId="47B65DB9" w14:textId="484A76AB" w:rsidR="00F90E51" w:rsidRDefault="00AC52E5" w:rsidP="00B51983">
      <w:pPr>
        <w:jc w:val="both"/>
      </w:pPr>
      <w:r>
        <w:t xml:space="preserve">DESCRIPTIF DU CONTRAT </w:t>
      </w:r>
    </w:p>
    <w:p w14:paraId="6BB74C45" w14:textId="58FD34F9" w:rsidR="00AC52E5" w:rsidRDefault="00920F4D" w:rsidP="00AC52E5">
      <w:pPr>
        <w:pStyle w:val="Paragraphedeliste"/>
        <w:numPr>
          <w:ilvl w:val="0"/>
          <w:numId w:val="2"/>
        </w:numPr>
        <w:jc w:val="both"/>
      </w:pPr>
      <w:r>
        <w:t>D</w:t>
      </w:r>
      <w:r w:rsidR="00AC52E5">
        <w:t>urée du contrat : 4 ans du 01.01.2020 au 31.12.2023 avec possibilité de résiliation annuelle sous respect d’un délai de préavis de six mois pour l’assureur et l’assuré.</w:t>
      </w:r>
    </w:p>
    <w:p w14:paraId="026A0465" w14:textId="0C937F2F" w:rsidR="00AC52E5" w:rsidRDefault="00920F4D" w:rsidP="00AC52E5">
      <w:pPr>
        <w:pStyle w:val="Paragraphedeliste"/>
        <w:numPr>
          <w:ilvl w:val="0"/>
          <w:numId w:val="2"/>
        </w:numPr>
        <w:jc w:val="both"/>
      </w:pPr>
      <w:r>
        <w:t>L</w:t>
      </w:r>
      <w:r w:rsidR="00AC52E5">
        <w:t>e contrat est régi sous le régime de la CAPITALISATION TOTALE (les prestations dues pour les sinistres en cours con</w:t>
      </w:r>
      <w:r w:rsidR="00B505CE">
        <w:t>tinuent à être prises en charge par l’assureur après résiliation du contrat).</w:t>
      </w:r>
    </w:p>
    <w:p w14:paraId="43AA11FC" w14:textId="0B94C61D" w:rsidR="00B505CE" w:rsidRDefault="00920F4D" w:rsidP="00AC52E5">
      <w:pPr>
        <w:pStyle w:val="Paragraphedeliste"/>
        <w:numPr>
          <w:ilvl w:val="0"/>
          <w:numId w:val="2"/>
        </w:numPr>
        <w:jc w:val="both"/>
      </w:pPr>
      <w:r>
        <w:t>G</w:t>
      </w:r>
      <w:r w:rsidR="00B505CE">
        <w:t xml:space="preserve">aranties couvertes par le contrat : </w:t>
      </w:r>
    </w:p>
    <w:p w14:paraId="17A15D9C" w14:textId="31EAF0A0" w:rsidR="00B505CE" w:rsidRDefault="00920F4D" w:rsidP="00B505CE">
      <w:pPr>
        <w:pStyle w:val="Paragraphedeliste"/>
        <w:numPr>
          <w:ilvl w:val="0"/>
          <w:numId w:val="3"/>
        </w:numPr>
        <w:jc w:val="both"/>
      </w:pPr>
      <w:r>
        <w:t>D</w:t>
      </w:r>
      <w:r w:rsidR="00B505CE">
        <w:t xml:space="preserve">écès (agents </w:t>
      </w:r>
      <w:r>
        <w:t>CNRACL</w:t>
      </w:r>
      <w:r w:rsidR="00B505CE">
        <w:t>)</w:t>
      </w:r>
    </w:p>
    <w:p w14:paraId="47C36AC9" w14:textId="15CDA992" w:rsidR="00B505CE" w:rsidRDefault="00920F4D" w:rsidP="00B505CE">
      <w:pPr>
        <w:pStyle w:val="Paragraphedeliste"/>
        <w:numPr>
          <w:ilvl w:val="0"/>
          <w:numId w:val="3"/>
        </w:numPr>
        <w:jc w:val="both"/>
      </w:pPr>
      <w:r>
        <w:lastRenderedPageBreak/>
        <w:t>C</w:t>
      </w:r>
      <w:r w:rsidR="00B505CE">
        <w:t>ongé d’invalidité temporaire imputable au service suite accident ou maladie (y compris temps partiel thérapeutique lié à l’évènement) avec transfert automatique des données AT/MP collectées vers PRORISQ.</w:t>
      </w:r>
    </w:p>
    <w:p w14:paraId="0E3938D0" w14:textId="24AA85D5" w:rsidR="00B505CE" w:rsidRDefault="00920F4D" w:rsidP="00B505CE">
      <w:pPr>
        <w:pStyle w:val="Paragraphedeliste"/>
        <w:numPr>
          <w:ilvl w:val="0"/>
          <w:numId w:val="3"/>
        </w:numPr>
        <w:jc w:val="both"/>
      </w:pPr>
      <w:r>
        <w:t>L</w:t>
      </w:r>
      <w:r w:rsidR="003A62C0">
        <w:t>ongue maladie/longue durée/ maladie grave (y compris temps partiel thérapeutique lié à l’évènement)</w:t>
      </w:r>
    </w:p>
    <w:p w14:paraId="15C3813A" w14:textId="06D888F8" w:rsidR="003A62C0" w:rsidRDefault="00920F4D" w:rsidP="00B505CE">
      <w:pPr>
        <w:pStyle w:val="Paragraphedeliste"/>
        <w:numPr>
          <w:ilvl w:val="0"/>
          <w:numId w:val="3"/>
        </w:numPr>
        <w:jc w:val="both"/>
      </w:pPr>
      <w:r>
        <w:t>N</w:t>
      </w:r>
      <w:r w:rsidR="003A62C0">
        <w:t xml:space="preserve">ouveauté : possibilité de ne pas </w:t>
      </w:r>
      <w:r w:rsidR="008A7677">
        <w:t>assurer la maladie ordinaire</w:t>
      </w:r>
    </w:p>
    <w:p w14:paraId="6411E291" w14:textId="19B7A9D9" w:rsidR="008A7677" w:rsidRDefault="00920F4D" w:rsidP="008A7677">
      <w:pPr>
        <w:pStyle w:val="Paragraphedeliste"/>
        <w:numPr>
          <w:ilvl w:val="0"/>
          <w:numId w:val="2"/>
        </w:numPr>
        <w:jc w:val="both"/>
      </w:pPr>
      <w:r>
        <w:t>G</w:t>
      </w:r>
      <w:r w:rsidR="008A7677">
        <w:t xml:space="preserve">arantie de taux : </w:t>
      </w:r>
      <w:r w:rsidR="00F21BBB">
        <w:t xml:space="preserve">la </w:t>
      </w:r>
      <w:r w:rsidR="008A7677">
        <w:t xml:space="preserve">garantie </w:t>
      </w:r>
      <w:r w:rsidR="00F21BBB">
        <w:t>de taux est de 2 ans pour le contrat CNRACL et 4 ans pour le contrat IRCANTEC</w:t>
      </w:r>
    </w:p>
    <w:p w14:paraId="09E9DE78" w14:textId="483CFAD3" w:rsidR="00F21BBB" w:rsidRDefault="00F21BBB" w:rsidP="008A7677">
      <w:pPr>
        <w:pStyle w:val="Paragraphedeliste"/>
        <w:numPr>
          <w:ilvl w:val="0"/>
          <w:numId w:val="2"/>
        </w:numPr>
        <w:jc w:val="both"/>
      </w:pPr>
      <w:r>
        <w:t xml:space="preserve">Informations complémentaires concernant la proposition : </w:t>
      </w:r>
    </w:p>
    <w:p w14:paraId="666F4432" w14:textId="394EF6AD" w:rsidR="00F21BBB" w:rsidRDefault="00F21BBB" w:rsidP="00F21BBB">
      <w:pPr>
        <w:jc w:val="both"/>
      </w:pPr>
      <w:r>
        <w:t>La prise en charge de toutes les indemnités journalières consécutives à des arrêts en cou</w:t>
      </w:r>
      <w:r w:rsidR="00E03179">
        <w:t>r</w:t>
      </w:r>
      <w:r>
        <w:t>s (quelle que soit la nature de l’arrêt).</w:t>
      </w:r>
    </w:p>
    <w:p w14:paraId="1D91476A" w14:textId="3C365701" w:rsidR="00F21BBB" w:rsidRDefault="00F21BBB" w:rsidP="00F21BBB">
      <w:pPr>
        <w:jc w:val="both"/>
      </w:pPr>
      <w:r>
        <w:t>La prise en charge du maintien à demi-traitement à titre conservatoire des agents ayant épuisé leurs droits (maladie ordinaire, longue maladie, longue durée) dans l’attente d’une décision de reprise de fonction</w:t>
      </w:r>
      <w:r w:rsidR="00C61443">
        <w:t>, de reclassement, de mise en disponibilité ou de retraite (</w:t>
      </w:r>
      <w:proofErr w:type="spellStart"/>
      <w:r w:rsidR="00C61443">
        <w:t>cf</w:t>
      </w:r>
      <w:proofErr w:type="spellEnd"/>
      <w:r w:rsidR="00C61443">
        <w:t xml:space="preserve"> décret 2011-1245 du 05.10.2011) dans la limite de 1 an.</w:t>
      </w:r>
    </w:p>
    <w:p w14:paraId="0BB48AF2" w14:textId="20374936" w:rsidR="00C61443" w:rsidRDefault="00920F4D" w:rsidP="00F21BBB">
      <w:pPr>
        <w:jc w:val="both"/>
      </w:pPr>
      <w:r>
        <w:t>L</w:t>
      </w:r>
      <w:r w:rsidR="00C61443">
        <w:t>e changement de nature de risque éventuel (exemple maladie ordinaire transformée en longue maladie)</w:t>
      </w:r>
    </w:p>
    <w:p w14:paraId="1A1B09AF" w14:textId="1D29E214" w:rsidR="00C61443" w:rsidRDefault="00920F4D" w:rsidP="00F21BBB">
      <w:pPr>
        <w:jc w:val="both"/>
      </w:pPr>
      <w:r>
        <w:t>L</w:t>
      </w:r>
      <w:r w:rsidR="00C61443">
        <w:t>e décès d’un agent en arrêt ap</w:t>
      </w:r>
      <w:r w:rsidR="00A91407">
        <w:t>rès la prise d’effet du nouveau contrat</w:t>
      </w:r>
    </w:p>
    <w:p w14:paraId="4FAD5ACF" w14:textId="38947231" w:rsidR="00A91407" w:rsidRDefault="00920F4D" w:rsidP="00F21BBB">
      <w:pPr>
        <w:jc w:val="both"/>
      </w:pPr>
      <w:r>
        <w:t>L</w:t>
      </w:r>
      <w:r w:rsidR="00A91407">
        <w:t xml:space="preserve">es frais médicaux si imputabilité au service reconnue. </w:t>
      </w:r>
    </w:p>
    <w:p w14:paraId="4096DD42" w14:textId="7FE0DDA1" w:rsidR="00A91407" w:rsidRDefault="00920F4D" w:rsidP="00F21BBB">
      <w:pPr>
        <w:jc w:val="both"/>
      </w:pPr>
      <w:r>
        <w:t>C</w:t>
      </w:r>
      <w:r w:rsidR="00A91407">
        <w:t>arence de 10 mois pour la garantie maternité : ce délai ne s’applique pas si la garantie maternité – adoption – paternité était souscrite par la collectivité contractant auprès d’un organisme d’assurance au titre de l’exercice précédent.</w:t>
      </w:r>
    </w:p>
    <w:p w14:paraId="6B3B2283" w14:textId="25AD998D" w:rsidR="00A91407" w:rsidRDefault="00A91407" w:rsidP="00F21BBB">
      <w:pPr>
        <w:jc w:val="both"/>
      </w:pPr>
      <w:r>
        <w:t>Respect de la décision de l’autorité territoriale.</w:t>
      </w:r>
    </w:p>
    <w:p w14:paraId="0FE88F3E" w14:textId="4A3124FE" w:rsidR="00A91407" w:rsidRDefault="00920F4D" w:rsidP="00F21BBB">
      <w:pPr>
        <w:jc w:val="both"/>
      </w:pPr>
      <w:r>
        <w:t>L</w:t>
      </w:r>
      <w:r w:rsidR="00A91407">
        <w:t>es délais de déclaration sont de 120 jours</w:t>
      </w:r>
    </w:p>
    <w:p w14:paraId="4C593013" w14:textId="708F2388" w:rsidR="00A91407" w:rsidRDefault="00920F4D" w:rsidP="00A91407">
      <w:pPr>
        <w:pStyle w:val="Paragraphedeliste"/>
        <w:numPr>
          <w:ilvl w:val="0"/>
          <w:numId w:val="2"/>
        </w:numPr>
        <w:jc w:val="both"/>
      </w:pPr>
      <w:r>
        <w:t>U</w:t>
      </w:r>
      <w:r w:rsidR="00A91407">
        <w:t xml:space="preserve">n contrat qui laisse le choix de l’assiette d’indemnisation :  </w:t>
      </w:r>
    </w:p>
    <w:p w14:paraId="0034020F" w14:textId="11CA8E1E" w:rsidR="00A91407" w:rsidRDefault="00920F4D" w:rsidP="00A91407">
      <w:pPr>
        <w:jc w:val="both"/>
      </w:pPr>
      <w:r>
        <w:t>I</w:t>
      </w:r>
      <w:r w:rsidR="00E03179">
        <w:t xml:space="preserve">l est possible de </w:t>
      </w:r>
      <w:r w:rsidR="00A91407">
        <w:t xml:space="preserve">choisir les éléments à assurer dans l’assiette de cotisation comprenant : </w:t>
      </w:r>
    </w:p>
    <w:p w14:paraId="69A84212" w14:textId="719A8892" w:rsidR="00A91407" w:rsidRDefault="00920F4D" w:rsidP="00A91407">
      <w:pPr>
        <w:pStyle w:val="Paragraphedeliste"/>
        <w:numPr>
          <w:ilvl w:val="0"/>
          <w:numId w:val="3"/>
        </w:numPr>
        <w:jc w:val="both"/>
      </w:pPr>
      <w:r>
        <w:t>L</w:t>
      </w:r>
      <w:r w:rsidR="00A91407">
        <w:t>e traitement annuel brut des agents assurés</w:t>
      </w:r>
    </w:p>
    <w:p w14:paraId="6E65FBA4" w14:textId="200B689A" w:rsidR="00A91407" w:rsidRDefault="00A91407" w:rsidP="00A91407">
      <w:pPr>
        <w:jc w:val="both"/>
      </w:pPr>
      <w:r>
        <w:t xml:space="preserve">Eventuellement </w:t>
      </w:r>
      <w:r w:rsidR="00216A49">
        <w:t>augmenté, au choix de la collectivité</w:t>
      </w:r>
      <w:r w:rsidR="002663B2">
        <w:t xml:space="preserve">, de tout ou partie des éléments suivants : </w:t>
      </w:r>
    </w:p>
    <w:p w14:paraId="70B8A380" w14:textId="64C5029E" w:rsidR="002663B2" w:rsidRDefault="00920F4D" w:rsidP="002663B2">
      <w:pPr>
        <w:pStyle w:val="Paragraphedeliste"/>
        <w:numPr>
          <w:ilvl w:val="0"/>
          <w:numId w:val="3"/>
        </w:numPr>
        <w:jc w:val="both"/>
      </w:pPr>
      <w:r>
        <w:t>L</w:t>
      </w:r>
      <w:r w:rsidR="002663B2">
        <w:t xml:space="preserve">a nouvelle bonification indiciaire ; </w:t>
      </w:r>
    </w:p>
    <w:p w14:paraId="16597BD1" w14:textId="0D7AA2E4" w:rsidR="002663B2" w:rsidRDefault="00920F4D" w:rsidP="002663B2">
      <w:pPr>
        <w:pStyle w:val="Paragraphedeliste"/>
        <w:numPr>
          <w:ilvl w:val="0"/>
          <w:numId w:val="3"/>
        </w:numPr>
        <w:jc w:val="both"/>
      </w:pPr>
      <w:r>
        <w:t>I</w:t>
      </w:r>
      <w:r w:rsidR="002663B2">
        <w:t>ndemnités (hors primes liées à l’exercice effectif des fonctions</w:t>
      </w:r>
      <w:r w:rsidR="00C265A0">
        <w:t>),</w:t>
      </w:r>
      <w:r w:rsidR="002663B2">
        <w:t xml:space="preserve"> SFT ; </w:t>
      </w:r>
    </w:p>
    <w:p w14:paraId="28830AAA" w14:textId="22694B61" w:rsidR="002663B2" w:rsidRDefault="00920F4D" w:rsidP="002663B2">
      <w:pPr>
        <w:pStyle w:val="Paragraphedeliste"/>
        <w:numPr>
          <w:ilvl w:val="0"/>
          <w:numId w:val="3"/>
        </w:numPr>
        <w:jc w:val="both"/>
      </w:pPr>
      <w:r>
        <w:t>T</w:t>
      </w:r>
      <w:r w:rsidR="002663B2">
        <w:t>out ou partie des charges patronales.</w:t>
      </w:r>
    </w:p>
    <w:p w14:paraId="2E7BDDE1" w14:textId="4F5CD26C" w:rsidR="00DD36AD" w:rsidRDefault="00DD36AD" w:rsidP="002663B2">
      <w:pPr>
        <w:jc w:val="both"/>
      </w:pPr>
      <w:r>
        <w:t>Les prestations annexes garanties (et incluses dans le taux) par l</w:t>
      </w:r>
      <w:r w:rsidR="00320A93">
        <w:t>e</w:t>
      </w:r>
      <w:r>
        <w:t xml:space="preserve"> candidat retenu sont : </w:t>
      </w:r>
    </w:p>
    <w:p w14:paraId="721E35BF" w14:textId="2A71FB34" w:rsidR="00135E66" w:rsidRDefault="00920F4D" w:rsidP="00DD36AD">
      <w:pPr>
        <w:pStyle w:val="Paragraphedeliste"/>
        <w:numPr>
          <w:ilvl w:val="0"/>
          <w:numId w:val="2"/>
        </w:numPr>
        <w:jc w:val="both"/>
      </w:pPr>
      <w:r>
        <w:t>C</w:t>
      </w:r>
      <w:r w:rsidR="00DD36AD">
        <w:t xml:space="preserve">ontrôles médicaux : organisation et prise en charge de contre-visites et d’expertises médicales sur les risques assurés (à l’exception des expertises qui ont comme seul objectif, l’aptitude aux fonctions, la définition du taux d’IPP (ATI), les saisines du Comité médical, celui-ci diligentant les expertises en raison du secret médical </w:t>
      </w:r>
      <w:r w:rsidR="00B31B5D">
        <w:t>lié à la pathologie.</w:t>
      </w:r>
    </w:p>
    <w:p w14:paraId="71BEB72E" w14:textId="77777777" w:rsidR="00135E66" w:rsidRDefault="00135E66">
      <w:r>
        <w:br w:type="page"/>
      </w:r>
    </w:p>
    <w:p w14:paraId="26C33917" w14:textId="77777777" w:rsidR="00DD36AD" w:rsidRDefault="00DD36AD" w:rsidP="00135E66">
      <w:pPr>
        <w:pStyle w:val="Paragraphedeliste"/>
        <w:jc w:val="both"/>
      </w:pPr>
    </w:p>
    <w:p w14:paraId="1D05B815" w14:textId="07C35F43" w:rsidR="00B31B5D" w:rsidRDefault="00920F4D" w:rsidP="00DD36AD">
      <w:pPr>
        <w:pStyle w:val="Paragraphedeliste"/>
        <w:numPr>
          <w:ilvl w:val="0"/>
          <w:numId w:val="2"/>
        </w:numPr>
        <w:jc w:val="both"/>
      </w:pPr>
      <w:r>
        <w:t>S</w:t>
      </w:r>
      <w:r w:rsidR="00B31B5D">
        <w:t>ervices en faveur du soutien et du maintien dans l’emploi des agents en difficulté</w:t>
      </w:r>
      <w:r w:rsidR="00E03179">
        <w:t>.</w:t>
      </w:r>
    </w:p>
    <w:p w14:paraId="6880E8AA" w14:textId="685F1986" w:rsidR="00B31B5D" w:rsidRDefault="00B31B5D" w:rsidP="00B31B5D">
      <w:pPr>
        <w:ind w:firstLine="360"/>
        <w:jc w:val="both"/>
      </w:pPr>
      <w:r>
        <w:t>- programme REPERE séances de soutien psychologique pour les agents victimes d’arrêts fréquents ou prolongés, aide à la réinsertion professionnelle),</w:t>
      </w:r>
    </w:p>
    <w:p w14:paraId="23631D25" w14:textId="682D8967" w:rsidR="00B31B5D" w:rsidRDefault="00B31B5D" w:rsidP="00B31B5D">
      <w:pPr>
        <w:ind w:firstLine="360"/>
        <w:jc w:val="both"/>
      </w:pPr>
      <w:r>
        <w:t>- nouveau : programme REPERE + en lien direct avec le programme REPERE, le programme REPERE+ se concentre sur les difficultés personnelles des agents en arrêt, pouvant parfois être familiales, financières, sociales…etc.</w:t>
      </w:r>
    </w:p>
    <w:p w14:paraId="35FD2A5B" w14:textId="02082257" w:rsidR="00B31B5D" w:rsidRDefault="00920F4D" w:rsidP="00B31B5D">
      <w:pPr>
        <w:ind w:firstLine="360"/>
        <w:jc w:val="both"/>
      </w:pPr>
      <w:r>
        <w:t>L</w:t>
      </w:r>
      <w:r w:rsidR="00B31B5D">
        <w:t>e programme REPERE + a pour objectif d’intégrer des séances d’accompagnement social dans le cadre des programmes REPERE afin d’aider à résoudre une partie des difficultés qui amènent à bénéficier d’un soutien psychologique, de permettre aux psychologues qui prennent en charge le programme de lier un accompagnement social aux séances de soutien psychologique lorsque le besoin est nécessaire, d’apporter un outil supplémentaire aux collectivités pour accompagner le retour à l’emploi.</w:t>
      </w:r>
    </w:p>
    <w:p w14:paraId="6C49A364" w14:textId="29D74BAE" w:rsidR="00B31B5D" w:rsidRDefault="00920F4D" w:rsidP="00B31B5D">
      <w:pPr>
        <w:pStyle w:val="Paragraphedeliste"/>
        <w:numPr>
          <w:ilvl w:val="0"/>
          <w:numId w:val="3"/>
        </w:numPr>
        <w:jc w:val="both"/>
      </w:pPr>
      <w:r>
        <w:t>P</w:t>
      </w:r>
      <w:r w:rsidR="00B31B5D">
        <w:t xml:space="preserve">rogramme ATLAS séances de </w:t>
      </w:r>
      <w:r w:rsidR="00F6614B">
        <w:t xml:space="preserve">soutien psychologique pour les DG, </w:t>
      </w:r>
      <w:r w:rsidR="00C265A0">
        <w:t>DGS, et</w:t>
      </w:r>
      <w:r>
        <w:t xml:space="preserve"> </w:t>
      </w:r>
      <w:r w:rsidR="00C265A0">
        <w:t>C</w:t>
      </w:r>
    </w:p>
    <w:p w14:paraId="7CEEB78A" w14:textId="4A88F763" w:rsidR="00F6614B" w:rsidRDefault="00920F4D" w:rsidP="00B31B5D">
      <w:pPr>
        <w:pStyle w:val="Paragraphedeliste"/>
        <w:numPr>
          <w:ilvl w:val="0"/>
          <w:numId w:val="3"/>
        </w:numPr>
        <w:jc w:val="both"/>
      </w:pPr>
      <w:r>
        <w:t>P</w:t>
      </w:r>
      <w:r w:rsidR="00F6614B">
        <w:t>rogramme CHANCE (pour un aménagement de poste ou reclassement) : accompagnement de la collectivité et de l’agent en difficulté dans la réintégration professionnelle ou dans le maintien dans l’emploi</w:t>
      </w:r>
    </w:p>
    <w:p w14:paraId="6A49266A" w14:textId="283A4B50" w:rsidR="00F6614B" w:rsidRDefault="00920F4D" w:rsidP="00B31B5D">
      <w:pPr>
        <w:pStyle w:val="Paragraphedeliste"/>
        <w:numPr>
          <w:ilvl w:val="0"/>
          <w:numId w:val="3"/>
        </w:numPr>
        <w:jc w:val="both"/>
      </w:pPr>
      <w:r>
        <w:t>S</w:t>
      </w:r>
      <w:r w:rsidR="00F6614B">
        <w:t>outien psychologique collectif (groupes de paroles pour les agents victimes d’un traumatis</w:t>
      </w:r>
      <w:r>
        <w:t>m</w:t>
      </w:r>
      <w:r w:rsidR="00F6614B">
        <w:t>e psychologique)</w:t>
      </w:r>
    </w:p>
    <w:p w14:paraId="55B7AEF0" w14:textId="7C743250" w:rsidR="00F6614B" w:rsidRDefault="00920F4D" w:rsidP="00B31B5D">
      <w:pPr>
        <w:pStyle w:val="Paragraphedeliste"/>
        <w:numPr>
          <w:ilvl w:val="0"/>
          <w:numId w:val="3"/>
        </w:numPr>
        <w:jc w:val="both"/>
      </w:pPr>
      <w:r>
        <w:t>P</w:t>
      </w:r>
      <w:r w:rsidR="00F6614B">
        <w:t xml:space="preserve">rogramme REACTION (séance de soutien </w:t>
      </w:r>
      <w:r w:rsidR="00C265A0">
        <w:t>psychologique pour</w:t>
      </w:r>
      <w:r w:rsidR="00F6614B">
        <w:t xml:space="preserve"> l’agent victime d’agression)</w:t>
      </w:r>
    </w:p>
    <w:p w14:paraId="0ACA03A9" w14:textId="73DAB40D" w:rsidR="00F6614B" w:rsidRDefault="00920F4D" w:rsidP="00F6614B">
      <w:pPr>
        <w:pStyle w:val="Paragraphedeliste"/>
        <w:numPr>
          <w:ilvl w:val="0"/>
          <w:numId w:val="2"/>
        </w:numPr>
        <w:jc w:val="both"/>
      </w:pPr>
      <w:r>
        <w:t>A</w:t>
      </w:r>
      <w:r w:rsidR="00F6614B">
        <w:t xml:space="preserve">ssistance juridique dans la journée ou sous 72 heures pour les questions complexes ; </w:t>
      </w:r>
    </w:p>
    <w:p w14:paraId="20C0C712" w14:textId="72E861EC" w:rsidR="00F6614B" w:rsidRDefault="00920F4D" w:rsidP="00F6614B">
      <w:pPr>
        <w:pStyle w:val="Paragraphedeliste"/>
        <w:numPr>
          <w:ilvl w:val="0"/>
          <w:numId w:val="2"/>
        </w:numPr>
        <w:jc w:val="both"/>
      </w:pPr>
      <w:r>
        <w:t>O</w:t>
      </w:r>
      <w:r w:rsidR="00F6614B">
        <w:t xml:space="preserve">rganisation des recours en cas d’accident avec tiers identifié responsable, afin de récupérer toutes les sommes engagées, y compris pour les risques non assurés (ex : en cas d’accident de la vie privée) et même si ceci a lieu avant la souscription du marché ; </w:t>
      </w:r>
    </w:p>
    <w:p w14:paraId="036812E3" w14:textId="4C68EB8F" w:rsidR="00F6614B" w:rsidRDefault="00920F4D" w:rsidP="00F6614B">
      <w:pPr>
        <w:pStyle w:val="Paragraphedeliste"/>
        <w:numPr>
          <w:ilvl w:val="0"/>
          <w:numId w:val="2"/>
        </w:numPr>
        <w:jc w:val="both"/>
      </w:pPr>
      <w:r>
        <w:t>E</w:t>
      </w:r>
      <w:r w:rsidR="00F6614B">
        <w:t>tablissement et remise de bilans statistiques de l’absentéisme sur l’ensemble de la sinistralité de la collectivité (y compris pour les risques non assurés) annuellement ou sur demande de la collectivité</w:t>
      </w:r>
      <w:r w:rsidR="00555EE7">
        <w:t>.</w:t>
      </w:r>
    </w:p>
    <w:p w14:paraId="3AE566D1" w14:textId="07B3416F" w:rsidR="00555EE7" w:rsidRPr="00E03179" w:rsidRDefault="00555EE7" w:rsidP="00135E66">
      <w:pPr>
        <w:jc w:val="center"/>
        <w:rPr>
          <w:b/>
          <w:bCs/>
        </w:rPr>
      </w:pPr>
      <w:r w:rsidRPr="00E03179">
        <w:rPr>
          <w:b/>
          <w:bCs/>
        </w:rPr>
        <w:t>PROPOSITION TARIFAIRE</w:t>
      </w:r>
    </w:p>
    <w:p w14:paraId="2DABD3F6" w14:textId="59415FF0" w:rsidR="00555EE7" w:rsidRDefault="00920F4D" w:rsidP="00555EE7">
      <w:pPr>
        <w:jc w:val="both"/>
      </w:pPr>
      <w:r>
        <w:t>L</w:t>
      </w:r>
      <w:r w:rsidR="00555EE7">
        <w:t xml:space="preserve">es taux que le CDG79 présente aujourd’hui dans le cadre du nouveau contrat groupe tiennent compte </w:t>
      </w:r>
      <w:proofErr w:type="spellStart"/>
      <w:r w:rsidR="00555EE7">
        <w:t>da</w:t>
      </w:r>
      <w:proofErr w:type="spellEnd"/>
      <w:r w:rsidR="00555EE7">
        <w:t xml:space="preserve"> la sinistralité des collectivités participantes depuis 4 ans, de la pyramide des âges des agents et des provisions techniques nécessaires à la gestion d’un contrat en capitalisation totale.</w:t>
      </w:r>
    </w:p>
    <w:tbl>
      <w:tblPr>
        <w:tblStyle w:val="Grilledutableau"/>
        <w:tblW w:w="0" w:type="auto"/>
        <w:tblLook w:val="04A0" w:firstRow="1" w:lastRow="0" w:firstColumn="1" w:lastColumn="0" w:noHBand="0" w:noVBand="1"/>
      </w:tblPr>
      <w:tblGrid>
        <w:gridCol w:w="4386"/>
        <w:gridCol w:w="4391"/>
      </w:tblGrid>
      <w:tr w:rsidR="00555EE7" w14:paraId="1A44EE9B" w14:textId="77777777" w:rsidTr="005D482F">
        <w:tc>
          <w:tcPr>
            <w:tcW w:w="9062" w:type="dxa"/>
            <w:gridSpan w:val="2"/>
          </w:tcPr>
          <w:p w14:paraId="4CD4C98C" w14:textId="2DFB763C" w:rsidR="00555EE7" w:rsidRPr="00555EE7" w:rsidRDefault="00555EE7" w:rsidP="00555EE7">
            <w:pPr>
              <w:jc w:val="center"/>
              <w:rPr>
                <w:b/>
                <w:bCs/>
              </w:rPr>
            </w:pPr>
            <w:r w:rsidRPr="00555EE7">
              <w:rPr>
                <w:b/>
                <w:bCs/>
              </w:rPr>
              <w:t>Agents affiliés à la CNRACL</w:t>
            </w:r>
          </w:p>
        </w:tc>
      </w:tr>
      <w:tr w:rsidR="00555EE7" w14:paraId="0E4DBCAC" w14:textId="77777777" w:rsidTr="00555EE7">
        <w:tc>
          <w:tcPr>
            <w:tcW w:w="4531" w:type="dxa"/>
          </w:tcPr>
          <w:p w14:paraId="6182759E" w14:textId="77777777" w:rsidR="00555EE7" w:rsidRDefault="00555EE7" w:rsidP="00555EE7">
            <w:pPr>
              <w:jc w:val="both"/>
            </w:pPr>
            <w:bookmarkStart w:id="1" w:name="_Hlk17968529"/>
          </w:p>
        </w:tc>
        <w:tc>
          <w:tcPr>
            <w:tcW w:w="4531" w:type="dxa"/>
          </w:tcPr>
          <w:p w14:paraId="64E708E9" w14:textId="503F20DE" w:rsidR="00555EE7" w:rsidRDefault="00555EE7" w:rsidP="00555EE7">
            <w:pPr>
              <w:jc w:val="center"/>
            </w:pPr>
            <w:r>
              <w:t>TAUX à compter du 01.01.2020</w:t>
            </w:r>
          </w:p>
        </w:tc>
      </w:tr>
      <w:tr w:rsidR="00555EE7" w14:paraId="0F0A25D3" w14:textId="77777777" w:rsidTr="00555EE7">
        <w:tc>
          <w:tcPr>
            <w:tcW w:w="4531" w:type="dxa"/>
          </w:tcPr>
          <w:p w14:paraId="574BC6C9" w14:textId="3EA2190E" w:rsidR="00555EE7" w:rsidRDefault="00555EE7" w:rsidP="00555EE7">
            <w:pPr>
              <w:jc w:val="both"/>
            </w:pPr>
            <w:r>
              <w:t>Ensemble des garanties avec 10 jours de franchise ferme en maladie ordinaire</w:t>
            </w:r>
          </w:p>
        </w:tc>
        <w:tc>
          <w:tcPr>
            <w:tcW w:w="4531" w:type="dxa"/>
          </w:tcPr>
          <w:p w14:paraId="1115DE9F" w14:textId="06599305" w:rsidR="00555EE7" w:rsidRDefault="00555EE7" w:rsidP="00555EE7">
            <w:pPr>
              <w:jc w:val="right"/>
            </w:pPr>
            <w:r>
              <w:t>5.85 %</w:t>
            </w:r>
          </w:p>
        </w:tc>
      </w:tr>
      <w:tr w:rsidR="00555EE7" w14:paraId="737BC1B7" w14:textId="77777777" w:rsidTr="00555EE7">
        <w:tc>
          <w:tcPr>
            <w:tcW w:w="4531" w:type="dxa"/>
          </w:tcPr>
          <w:p w14:paraId="1359BBA3" w14:textId="4B311FE6" w:rsidR="00555EE7" w:rsidRDefault="00555EE7" w:rsidP="00555EE7">
            <w:pPr>
              <w:jc w:val="both"/>
            </w:pPr>
            <w:r>
              <w:t>Ensemble des garanties avec 20 jours de franchise ferme en maladie ordinaire</w:t>
            </w:r>
          </w:p>
        </w:tc>
        <w:tc>
          <w:tcPr>
            <w:tcW w:w="4531" w:type="dxa"/>
          </w:tcPr>
          <w:p w14:paraId="74802797" w14:textId="3C3E7DD7" w:rsidR="00555EE7" w:rsidRDefault="00555EE7" w:rsidP="00555EE7">
            <w:pPr>
              <w:jc w:val="right"/>
            </w:pPr>
            <w:r>
              <w:t>5.51 %</w:t>
            </w:r>
          </w:p>
        </w:tc>
      </w:tr>
      <w:bookmarkEnd w:id="1"/>
      <w:tr w:rsidR="00555EE7" w14:paraId="5A86FDBF" w14:textId="77777777" w:rsidTr="00555EE7">
        <w:tc>
          <w:tcPr>
            <w:tcW w:w="4531" w:type="dxa"/>
          </w:tcPr>
          <w:p w14:paraId="6DC37F0A" w14:textId="7C9F9889" w:rsidR="00555EE7" w:rsidRDefault="00555EE7" w:rsidP="00555EE7">
            <w:pPr>
              <w:jc w:val="both"/>
            </w:pPr>
            <w:r>
              <w:t xml:space="preserve">Ensemble des garanties sans la maladie ordinaire </w:t>
            </w:r>
          </w:p>
        </w:tc>
        <w:tc>
          <w:tcPr>
            <w:tcW w:w="4531" w:type="dxa"/>
          </w:tcPr>
          <w:p w14:paraId="7FEDA2AF" w14:textId="0249DD81" w:rsidR="00555EE7" w:rsidRDefault="00555EE7" w:rsidP="00555EE7">
            <w:pPr>
              <w:jc w:val="right"/>
            </w:pPr>
            <w:r>
              <w:t>4.64 %</w:t>
            </w:r>
          </w:p>
        </w:tc>
      </w:tr>
    </w:tbl>
    <w:p w14:paraId="1541A37B" w14:textId="66C35695" w:rsidR="00555EE7" w:rsidRDefault="00555EE7" w:rsidP="00555EE7">
      <w:pPr>
        <w:jc w:val="both"/>
      </w:pPr>
    </w:p>
    <w:tbl>
      <w:tblPr>
        <w:tblStyle w:val="Grilledutableau"/>
        <w:tblW w:w="0" w:type="auto"/>
        <w:tblLook w:val="04A0" w:firstRow="1" w:lastRow="0" w:firstColumn="1" w:lastColumn="0" w:noHBand="0" w:noVBand="1"/>
      </w:tblPr>
      <w:tblGrid>
        <w:gridCol w:w="4398"/>
        <w:gridCol w:w="4379"/>
      </w:tblGrid>
      <w:tr w:rsidR="00555EE7" w14:paraId="1C688AB2" w14:textId="77777777" w:rsidTr="005D482F">
        <w:tc>
          <w:tcPr>
            <w:tcW w:w="9062" w:type="dxa"/>
            <w:gridSpan w:val="2"/>
          </w:tcPr>
          <w:p w14:paraId="45D1CB14" w14:textId="584E65BD" w:rsidR="00555EE7" w:rsidRPr="00555EE7" w:rsidRDefault="00555EE7" w:rsidP="00555EE7">
            <w:pPr>
              <w:jc w:val="center"/>
              <w:rPr>
                <w:b/>
                <w:bCs/>
              </w:rPr>
            </w:pPr>
            <w:r w:rsidRPr="00555EE7">
              <w:rPr>
                <w:b/>
                <w:bCs/>
              </w:rPr>
              <w:t>Agents non affiliés à la CNRACL</w:t>
            </w:r>
          </w:p>
        </w:tc>
      </w:tr>
      <w:tr w:rsidR="00555EE7" w14:paraId="6EF237FB" w14:textId="77777777" w:rsidTr="00555EE7">
        <w:tc>
          <w:tcPr>
            <w:tcW w:w="4531" w:type="dxa"/>
          </w:tcPr>
          <w:p w14:paraId="719D8CA1" w14:textId="270960F1" w:rsidR="00555EE7" w:rsidRDefault="00555EE7" w:rsidP="00555EE7">
            <w:pPr>
              <w:jc w:val="both"/>
            </w:pPr>
            <w:r>
              <w:t>Ensemble des garanties avec 10 jours de franchise en maladie ordinaire</w:t>
            </w:r>
          </w:p>
        </w:tc>
        <w:tc>
          <w:tcPr>
            <w:tcW w:w="4531" w:type="dxa"/>
          </w:tcPr>
          <w:p w14:paraId="4428DEA5" w14:textId="2C22DA67" w:rsidR="00555EE7" w:rsidRDefault="00555EE7" w:rsidP="00555EE7">
            <w:pPr>
              <w:jc w:val="right"/>
            </w:pPr>
            <w:r>
              <w:t>0.75 %</w:t>
            </w:r>
          </w:p>
        </w:tc>
      </w:tr>
    </w:tbl>
    <w:p w14:paraId="6EDD7F39" w14:textId="502165E7" w:rsidR="00555EE7" w:rsidRDefault="00555EE7" w:rsidP="00555EE7">
      <w:pPr>
        <w:jc w:val="both"/>
      </w:pPr>
    </w:p>
    <w:p w14:paraId="2C4F2982" w14:textId="713F48BC" w:rsidR="00555EE7" w:rsidRDefault="00554ABF" w:rsidP="00555EE7">
      <w:pPr>
        <w:jc w:val="both"/>
      </w:pPr>
      <w:r>
        <w:t>P</w:t>
      </w:r>
      <w:r w:rsidR="00555EE7">
        <w:t xml:space="preserve">articipation aux frais du CDG79 : cette participation annuelle s’élève à 0.13 % de la masse salariale assurée. Ce pourcentage correspond à l’obligation légale de remboursement, par les </w:t>
      </w:r>
      <w:r w:rsidR="00555EE7">
        <w:lastRenderedPageBreak/>
        <w:t>collectivités, des frais engagés par le CDG79 pour la mise en place et le fonctionnement des missions d’accompagnement pour la gestion du contrat et la prévention de l’absentéisme. Le service assurance</w:t>
      </w:r>
      <w:r w:rsidR="00813527">
        <w:t xml:space="preserve"> du Centre de Gestion est l’interlocuteur direct pour toutes questions relatives au contrat (adhésions, cotisations, prestations, litiges, conseils statutaires en lien avec l’indisponibilité physique…).</w:t>
      </w:r>
    </w:p>
    <w:p w14:paraId="53FBB93D" w14:textId="278CE2A8" w:rsidR="00813527" w:rsidRPr="000D3C83" w:rsidRDefault="00813527" w:rsidP="00555EE7">
      <w:pPr>
        <w:jc w:val="both"/>
        <w:rPr>
          <w:b/>
          <w:bCs/>
        </w:rPr>
      </w:pPr>
      <w:r w:rsidRPr="000D3C83">
        <w:rPr>
          <w:b/>
          <w:bCs/>
        </w:rPr>
        <w:t xml:space="preserve">Monsieur le maire rappelle au conseil municipal que les taux appliqués actuellement à la commune sont : </w:t>
      </w:r>
    </w:p>
    <w:p w14:paraId="5D1BA7A2" w14:textId="07ACCF60" w:rsidR="00F63367" w:rsidRDefault="000D3C83" w:rsidP="000D3C83">
      <w:pPr>
        <w:pStyle w:val="Paragraphedeliste"/>
        <w:numPr>
          <w:ilvl w:val="0"/>
          <w:numId w:val="2"/>
        </w:numPr>
        <w:jc w:val="both"/>
      </w:pPr>
      <w:r w:rsidRPr="000D3C83">
        <w:rPr>
          <w:b/>
          <w:bCs/>
        </w:rPr>
        <w:t>Pour les agents « CNRACL »</w:t>
      </w:r>
      <w:r>
        <w:t xml:space="preserve"> </w:t>
      </w:r>
      <w:r w:rsidR="00813527">
        <w:t xml:space="preserve">5.90 %  </w:t>
      </w:r>
      <w:r w:rsidR="00F63367">
        <w:t xml:space="preserve"> pour l’ensemble des garanties avec 10 jours de franchise ferme en maladie ordinaire</w:t>
      </w:r>
    </w:p>
    <w:p w14:paraId="372E0E5D" w14:textId="0C891DF1" w:rsidR="00F63367" w:rsidRDefault="000D3C83" w:rsidP="000D3C83">
      <w:pPr>
        <w:pStyle w:val="Paragraphedeliste"/>
        <w:numPr>
          <w:ilvl w:val="0"/>
          <w:numId w:val="2"/>
        </w:numPr>
        <w:jc w:val="both"/>
      </w:pPr>
      <w:r w:rsidRPr="000D3C83">
        <w:rPr>
          <w:b/>
          <w:bCs/>
        </w:rPr>
        <w:t>Pour les agents « IRCANTEC »</w:t>
      </w:r>
      <w:r>
        <w:t xml:space="preserve"> </w:t>
      </w:r>
      <w:r w:rsidR="00F63367">
        <w:t>1.20 % pour l’ensemble des garanties avec 10 jours de franchise en maladie ordinaire</w:t>
      </w:r>
    </w:p>
    <w:p w14:paraId="7B4CED06" w14:textId="14208626" w:rsidR="00F63367" w:rsidRDefault="000D3C83" w:rsidP="000D3C83">
      <w:pPr>
        <w:pStyle w:val="Paragraphedeliste"/>
        <w:numPr>
          <w:ilvl w:val="0"/>
          <w:numId w:val="2"/>
        </w:numPr>
        <w:jc w:val="both"/>
      </w:pPr>
      <w:r w:rsidRPr="000D3C83">
        <w:rPr>
          <w:b/>
          <w:bCs/>
        </w:rPr>
        <w:t>P</w:t>
      </w:r>
      <w:r w:rsidR="00F63367" w:rsidRPr="000D3C83">
        <w:rPr>
          <w:b/>
          <w:bCs/>
        </w:rPr>
        <w:t>our la participation aux frais du CDG</w:t>
      </w:r>
      <w:r w:rsidR="00F63367">
        <w:t xml:space="preserve"> 79</w:t>
      </w:r>
      <w:r w:rsidR="00320A93">
        <w:t xml:space="preserve"> =</w:t>
      </w:r>
      <w:r>
        <w:t xml:space="preserve"> 0.13 %</w:t>
      </w:r>
    </w:p>
    <w:p w14:paraId="69F66397" w14:textId="77777777" w:rsidR="00F63367" w:rsidRDefault="00F63367" w:rsidP="00555EE7">
      <w:pPr>
        <w:jc w:val="both"/>
      </w:pPr>
    </w:p>
    <w:p w14:paraId="62E01C73" w14:textId="6D8C0A22" w:rsidR="00813527" w:rsidRDefault="00F63367" w:rsidP="00555EE7">
      <w:pPr>
        <w:jc w:val="both"/>
      </w:pPr>
      <w:r>
        <w:t xml:space="preserve">Il propose au conseil municipal </w:t>
      </w:r>
      <w:r w:rsidR="00621734">
        <w:t>de confirmer l’adhésion à ce nouveau contrat</w:t>
      </w:r>
      <w:r>
        <w:t xml:space="preserve"> </w:t>
      </w:r>
      <w:r w:rsidR="00621734">
        <w:t xml:space="preserve">et de </w:t>
      </w:r>
      <w:r>
        <w:t xml:space="preserve">retenir les garanties suivantes : </w:t>
      </w:r>
    </w:p>
    <w:p w14:paraId="407F80BE" w14:textId="77777777" w:rsidR="00621734" w:rsidRDefault="00621734" w:rsidP="00555EE7">
      <w:pPr>
        <w:jc w:val="both"/>
      </w:pPr>
    </w:p>
    <w:tbl>
      <w:tblPr>
        <w:tblStyle w:val="Grilledutableau"/>
        <w:tblW w:w="0" w:type="auto"/>
        <w:tblLook w:val="04A0" w:firstRow="1" w:lastRow="0" w:firstColumn="1" w:lastColumn="0" w:noHBand="0" w:noVBand="1"/>
      </w:tblPr>
      <w:tblGrid>
        <w:gridCol w:w="2684"/>
        <w:gridCol w:w="3017"/>
        <w:gridCol w:w="3076"/>
      </w:tblGrid>
      <w:tr w:rsidR="00621734" w14:paraId="6D5F545B" w14:textId="77777777" w:rsidTr="005D482F">
        <w:tc>
          <w:tcPr>
            <w:tcW w:w="5887" w:type="dxa"/>
            <w:gridSpan w:val="2"/>
          </w:tcPr>
          <w:p w14:paraId="6CC1B654" w14:textId="71BA8170" w:rsidR="00621734" w:rsidRDefault="00621734" w:rsidP="005D482F">
            <w:pPr>
              <w:jc w:val="both"/>
            </w:pPr>
          </w:p>
        </w:tc>
        <w:tc>
          <w:tcPr>
            <w:tcW w:w="3175" w:type="dxa"/>
          </w:tcPr>
          <w:p w14:paraId="5E7C9B51" w14:textId="77777777" w:rsidR="00621734" w:rsidRDefault="00621734" w:rsidP="005D482F">
            <w:pPr>
              <w:jc w:val="center"/>
            </w:pPr>
            <w:r>
              <w:t>TAUX à compter du 01.01.2020</w:t>
            </w:r>
          </w:p>
        </w:tc>
      </w:tr>
      <w:tr w:rsidR="00621734" w14:paraId="5CE26EA4" w14:textId="77777777" w:rsidTr="00621734">
        <w:tc>
          <w:tcPr>
            <w:tcW w:w="2767" w:type="dxa"/>
          </w:tcPr>
          <w:p w14:paraId="2E5E5492" w14:textId="6178C0C7" w:rsidR="00621734" w:rsidRDefault="00621734" w:rsidP="005D482F">
            <w:pPr>
              <w:jc w:val="both"/>
            </w:pPr>
            <w:r>
              <w:t>Agents CNRACL</w:t>
            </w:r>
          </w:p>
        </w:tc>
        <w:tc>
          <w:tcPr>
            <w:tcW w:w="3120" w:type="dxa"/>
          </w:tcPr>
          <w:p w14:paraId="7D341068" w14:textId="1B267B8B" w:rsidR="00621734" w:rsidRDefault="00621734" w:rsidP="005D482F">
            <w:pPr>
              <w:jc w:val="both"/>
            </w:pPr>
            <w:r>
              <w:t>Ensemble des garanties avec 10 jours de franchise ferme en maladie ordinaire</w:t>
            </w:r>
          </w:p>
        </w:tc>
        <w:tc>
          <w:tcPr>
            <w:tcW w:w="3175" w:type="dxa"/>
          </w:tcPr>
          <w:p w14:paraId="51664E9B" w14:textId="77777777" w:rsidR="00621734" w:rsidRDefault="00621734" w:rsidP="005D482F">
            <w:pPr>
              <w:jc w:val="right"/>
            </w:pPr>
            <w:r>
              <w:t>5.85 %</w:t>
            </w:r>
          </w:p>
        </w:tc>
      </w:tr>
      <w:tr w:rsidR="00621734" w14:paraId="14BBCA96" w14:textId="77777777" w:rsidTr="00621734">
        <w:tc>
          <w:tcPr>
            <w:tcW w:w="2767" w:type="dxa"/>
          </w:tcPr>
          <w:p w14:paraId="53CFEE30" w14:textId="6CEAFD02" w:rsidR="00621734" w:rsidRDefault="00621734" w:rsidP="005D482F">
            <w:pPr>
              <w:jc w:val="both"/>
            </w:pPr>
            <w:r>
              <w:t>Agents IRCANTEC</w:t>
            </w:r>
          </w:p>
        </w:tc>
        <w:tc>
          <w:tcPr>
            <w:tcW w:w="3120" w:type="dxa"/>
          </w:tcPr>
          <w:p w14:paraId="75BB7DB7" w14:textId="73DF2D0B" w:rsidR="00621734" w:rsidRDefault="00621734" w:rsidP="005D482F">
            <w:pPr>
              <w:jc w:val="both"/>
            </w:pPr>
            <w:r>
              <w:t>Ensemble des garanties avec 10 jours de franchise ferme en maladie ordinaire</w:t>
            </w:r>
          </w:p>
        </w:tc>
        <w:tc>
          <w:tcPr>
            <w:tcW w:w="3175" w:type="dxa"/>
          </w:tcPr>
          <w:p w14:paraId="34D2C427" w14:textId="766A34F7" w:rsidR="00621734" w:rsidRDefault="00621734" w:rsidP="005D482F">
            <w:pPr>
              <w:jc w:val="right"/>
            </w:pPr>
            <w:r>
              <w:t>0.75 %</w:t>
            </w:r>
          </w:p>
        </w:tc>
      </w:tr>
      <w:tr w:rsidR="00621734" w14:paraId="7E85D0A0" w14:textId="77777777" w:rsidTr="005D482F">
        <w:tc>
          <w:tcPr>
            <w:tcW w:w="5887" w:type="dxa"/>
            <w:gridSpan w:val="2"/>
          </w:tcPr>
          <w:p w14:paraId="7D59E743" w14:textId="5EBCD9E7" w:rsidR="00621734" w:rsidRDefault="00621734" w:rsidP="005D482F">
            <w:pPr>
              <w:jc w:val="both"/>
            </w:pPr>
            <w:r>
              <w:t>Participation CDG79</w:t>
            </w:r>
          </w:p>
        </w:tc>
        <w:tc>
          <w:tcPr>
            <w:tcW w:w="3175" w:type="dxa"/>
          </w:tcPr>
          <w:p w14:paraId="7D09DD90" w14:textId="37778DB4" w:rsidR="00621734" w:rsidRDefault="00621734" w:rsidP="005D482F">
            <w:pPr>
              <w:jc w:val="right"/>
            </w:pPr>
            <w:r>
              <w:t>0.13 %</w:t>
            </w:r>
          </w:p>
        </w:tc>
      </w:tr>
    </w:tbl>
    <w:p w14:paraId="7DD21AE0" w14:textId="05C8A7E9" w:rsidR="00C640C8" w:rsidRDefault="00C640C8" w:rsidP="00B51983">
      <w:pPr>
        <w:jc w:val="both"/>
        <w:rPr>
          <w:b/>
          <w:bCs/>
        </w:rPr>
      </w:pPr>
    </w:p>
    <w:p w14:paraId="7DDE4BD0" w14:textId="20C3A3C7" w:rsidR="00E12824" w:rsidRPr="00E12824" w:rsidRDefault="00920F4D" w:rsidP="00E12824">
      <w:pPr>
        <w:pBdr>
          <w:top w:val="single" w:sz="4" w:space="1" w:color="auto"/>
          <w:left w:val="single" w:sz="4" w:space="4" w:color="auto"/>
          <w:bottom w:val="single" w:sz="4" w:space="1" w:color="auto"/>
          <w:right w:val="single" w:sz="4" w:space="4" w:color="auto"/>
        </w:pBdr>
        <w:jc w:val="both"/>
      </w:pPr>
      <w:r>
        <w:t>P</w:t>
      </w:r>
      <w:r w:rsidR="00E12824" w:rsidRPr="00E12824">
        <w:t xml:space="preserve">our : </w:t>
      </w:r>
      <w:r w:rsidR="00D407F8">
        <w:t>16</w:t>
      </w:r>
    </w:p>
    <w:p w14:paraId="584A8DF0" w14:textId="0C6ED8F2" w:rsidR="00E12824" w:rsidRPr="00E12824" w:rsidRDefault="00920F4D" w:rsidP="00E12824">
      <w:pPr>
        <w:pBdr>
          <w:top w:val="single" w:sz="4" w:space="1" w:color="auto"/>
          <w:left w:val="single" w:sz="4" w:space="4" w:color="auto"/>
          <w:bottom w:val="single" w:sz="4" w:space="1" w:color="auto"/>
          <w:right w:val="single" w:sz="4" w:space="4" w:color="auto"/>
        </w:pBdr>
        <w:jc w:val="both"/>
      </w:pPr>
      <w:r>
        <w:t>C</w:t>
      </w:r>
      <w:r w:rsidR="00E12824" w:rsidRPr="00E12824">
        <w:t xml:space="preserve">ontre : </w:t>
      </w:r>
      <w:r w:rsidR="00D407F8">
        <w:t>0</w:t>
      </w:r>
    </w:p>
    <w:p w14:paraId="24A3867F" w14:textId="1385729D" w:rsidR="00E12824" w:rsidRPr="00E12824" w:rsidRDefault="00920F4D" w:rsidP="00E12824">
      <w:pPr>
        <w:pBdr>
          <w:top w:val="single" w:sz="4" w:space="1" w:color="auto"/>
          <w:left w:val="single" w:sz="4" w:space="4" w:color="auto"/>
          <w:bottom w:val="single" w:sz="4" w:space="1" w:color="auto"/>
          <w:right w:val="single" w:sz="4" w:space="4" w:color="auto"/>
        </w:pBdr>
        <w:jc w:val="both"/>
      </w:pPr>
      <w:r>
        <w:t>A</w:t>
      </w:r>
      <w:r w:rsidR="00E12824" w:rsidRPr="00E12824">
        <w:t xml:space="preserve">bstention : </w:t>
      </w:r>
      <w:r w:rsidR="00D407F8">
        <w:t>0</w:t>
      </w:r>
    </w:p>
    <w:p w14:paraId="7687D5D7" w14:textId="77777777" w:rsidR="000D3C83" w:rsidRPr="00B06D61" w:rsidRDefault="000D3C83" w:rsidP="000D3C83">
      <w:pPr>
        <w:jc w:val="both"/>
        <w:rPr>
          <w:b/>
          <w:bCs/>
        </w:rPr>
      </w:pPr>
      <w:r w:rsidRPr="00B06D61">
        <w:rPr>
          <w:b/>
          <w:bCs/>
        </w:rPr>
        <w:t>JOURNEE DE SOLIDARITE</w:t>
      </w:r>
    </w:p>
    <w:p w14:paraId="54239A95" w14:textId="77777777" w:rsidR="000D3C83" w:rsidRPr="009D2063" w:rsidRDefault="000D3C83" w:rsidP="000D3C83">
      <w:pPr>
        <w:jc w:val="both"/>
        <w:rPr>
          <w:rFonts w:cstheme="minorHAnsi"/>
          <w:szCs w:val="24"/>
        </w:rPr>
      </w:pPr>
      <w:r w:rsidRPr="009D2063">
        <w:rPr>
          <w:rFonts w:cstheme="minorHAnsi"/>
          <w:szCs w:val="24"/>
        </w:rPr>
        <w:t xml:space="preserve">Monsieur le Maire expose que la loi du 30 juin 2004 a institué une journée de solidarité due par les salariés du secteur privé, ainsi que par les agents du secteur public, en vue d'assurer le financement des actions en faveur de l'autonomie des personnes âgées ou handicapées. </w:t>
      </w:r>
    </w:p>
    <w:p w14:paraId="74EE1B2B" w14:textId="77777777" w:rsidR="000D3C83" w:rsidRPr="009D2063" w:rsidRDefault="000D3C83" w:rsidP="000D3C83">
      <w:pPr>
        <w:jc w:val="both"/>
        <w:rPr>
          <w:rFonts w:eastAsia="Arial Unicode MS" w:cstheme="minorHAnsi"/>
          <w:bCs/>
          <w:szCs w:val="24"/>
        </w:rPr>
      </w:pPr>
    </w:p>
    <w:p w14:paraId="6D95470A" w14:textId="77777777" w:rsidR="000D3C83" w:rsidRPr="009D2063" w:rsidRDefault="000D3C83" w:rsidP="000D3C83">
      <w:pPr>
        <w:jc w:val="both"/>
        <w:rPr>
          <w:rFonts w:cstheme="minorHAnsi"/>
          <w:szCs w:val="24"/>
        </w:rPr>
      </w:pPr>
      <w:r w:rsidRPr="009D2063">
        <w:rPr>
          <w:rFonts w:cstheme="minorHAnsi"/>
          <w:szCs w:val="24"/>
        </w:rPr>
        <w:t xml:space="preserve">Les agents concernés sont les suivants : </w:t>
      </w:r>
    </w:p>
    <w:p w14:paraId="12D345BE" w14:textId="77777777" w:rsidR="000D3C83" w:rsidRPr="009D2063" w:rsidRDefault="000D3C83" w:rsidP="000D3C83">
      <w:pPr>
        <w:pStyle w:val="Paragraphedeliste"/>
        <w:numPr>
          <w:ilvl w:val="0"/>
          <w:numId w:val="5"/>
        </w:numPr>
        <w:spacing w:after="0" w:line="240" w:lineRule="auto"/>
        <w:jc w:val="both"/>
        <w:rPr>
          <w:rFonts w:eastAsia="Arial Unicode MS" w:cstheme="minorHAnsi"/>
          <w:bCs/>
          <w:szCs w:val="24"/>
        </w:rPr>
      </w:pPr>
      <w:r w:rsidRPr="009D2063">
        <w:rPr>
          <w:rFonts w:cstheme="minorHAnsi"/>
          <w:szCs w:val="24"/>
        </w:rPr>
        <w:t>Fonctionnaires titulaires ou stagiaires, à temps complet ou non complet,</w:t>
      </w:r>
    </w:p>
    <w:p w14:paraId="4E274E48" w14:textId="77777777" w:rsidR="000D3C83" w:rsidRPr="009D2063" w:rsidRDefault="000D3C83" w:rsidP="000D3C83">
      <w:pPr>
        <w:pStyle w:val="Paragraphedeliste"/>
        <w:numPr>
          <w:ilvl w:val="0"/>
          <w:numId w:val="5"/>
        </w:numPr>
        <w:spacing w:after="0" w:line="240" w:lineRule="auto"/>
        <w:jc w:val="both"/>
        <w:rPr>
          <w:rFonts w:eastAsia="Arial Unicode MS" w:cstheme="minorHAnsi"/>
          <w:bCs/>
          <w:szCs w:val="24"/>
        </w:rPr>
      </w:pPr>
      <w:r w:rsidRPr="009D2063">
        <w:rPr>
          <w:rFonts w:cstheme="minorHAnsi"/>
          <w:szCs w:val="24"/>
        </w:rPr>
        <w:t>Agents non titulaires de droit public à temps complet ou non complet,</w:t>
      </w:r>
    </w:p>
    <w:p w14:paraId="54F30C34" w14:textId="77777777" w:rsidR="000D3C83" w:rsidRPr="009D2063" w:rsidRDefault="000D3C83" w:rsidP="000D3C83">
      <w:pPr>
        <w:pStyle w:val="Paragraphedeliste"/>
        <w:numPr>
          <w:ilvl w:val="0"/>
          <w:numId w:val="5"/>
        </w:numPr>
        <w:spacing w:after="0" w:line="240" w:lineRule="auto"/>
        <w:jc w:val="both"/>
        <w:rPr>
          <w:rFonts w:eastAsia="Arial Unicode MS" w:cstheme="minorHAnsi"/>
          <w:bCs/>
          <w:szCs w:val="24"/>
        </w:rPr>
      </w:pPr>
      <w:r w:rsidRPr="009D2063">
        <w:rPr>
          <w:rFonts w:cstheme="minorHAnsi"/>
          <w:szCs w:val="24"/>
        </w:rPr>
        <w:t>Mais également, les agents non titulaires de droit privé (contractuels, emplois aidés, apprentis de plus de 18 ans...).</w:t>
      </w:r>
    </w:p>
    <w:p w14:paraId="0B27FDE3" w14:textId="77777777" w:rsidR="000D3C83" w:rsidRPr="009D2063" w:rsidRDefault="000D3C83" w:rsidP="000D3C83">
      <w:pPr>
        <w:pStyle w:val="Paragraphedeliste"/>
        <w:ind w:left="0"/>
        <w:jc w:val="both"/>
        <w:rPr>
          <w:rFonts w:cstheme="minorHAnsi"/>
          <w:szCs w:val="24"/>
        </w:rPr>
      </w:pPr>
    </w:p>
    <w:p w14:paraId="18439C86" w14:textId="018ABB71" w:rsidR="000D3C83" w:rsidRPr="009D2063" w:rsidRDefault="00920F4D" w:rsidP="000D3C83">
      <w:pPr>
        <w:pStyle w:val="Paragraphedeliste"/>
        <w:ind w:left="0"/>
        <w:jc w:val="both"/>
        <w:rPr>
          <w:rFonts w:eastAsia="Arial Unicode MS" w:cstheme="minorHAnsi"/>
          <w:bCs/>
          <w:szCs w:val="24"/>
        </w:rPr>
      </w:pPr>
      <w:r>
        <w:rPr>
          <w:rFonts w:eastAsia="Arial Unicode MS" w:cstheme="minorHAnsi"/>
          <w:bCs/>
          <w:szCs w:val="24"/>
        </w:rPr>
        <w:t>A</w:t>
      </w:r>
      <w:r w:rsidR="000D3C83">
        <w:rPr>
          <w:rFonts w:eastAsia="Arial Unicode MS" w:cstheme="minorHAnsi"/>
          <w:bCs/>
          <w:szCs w:val="24"/>
        </w:rPr>
        <w:t xml:space="preserve">près avis du Comité Technique du 25 Juin 2019, Monsieur le Maire propose, </w:t>
      </w:r>
      <w:r w:rsidR="000D3C83" w:rsidRPr="009D2063">
        <w:rPr>
          <w:rFonts w:eastAsia="Arial Unicode MS" w:cstheme="minorHAnsi"/>
          <w:bCs/>
          <w:szCs w:val="24"/>
        </w:rPr>
        <w:t>à compter du 1</w:t>
      </w:r>
      <w:r w:rsidR="000D3C83" w:rsidRPr="009D2063">
        <w:rPr>
          <w:rFonts w:eastAsia="Arial Unicode MS" w:cstheme="minorHAnsi"/>
          <w:bCs/>
          <w:szCs w:val="24"/>
          <w:vertAlign w:val="superscript"/>
        </w:rPr>
        <w:t>er</w:t>
      </w:r>
      <w:r w:rsidR="000D3C83" w:rsidRPr="009D2063">
        <w:rPr>
          <w:rFonts w:eastAsia="Arial Unicode MS" w:cstheme="minorHAnsi"/>
          <w:bCs/>
          <w:szCs w:val="24"/>
        </w:rPr>
        <w:t xml:space="preserve"> janvier 2020 :</w:t>
      </w:r>
    </w:p>
    <w:p w14:paraId="74D876DA" w14:textId="77777777" w:rsidR="000D3C83" w:rsidRPr="009D2063" w:rsidRDefault="000D3C83" w:rsidP="000D3C83">
      <w:pPr>
        <w:pStyle w:val="Paragraphedeliste"/>
        <w:ind w:left="0"/>
        <w:jc w:val="both"/>
        <w:rPr>
          <w:rFonts w:eastAsia="Arial Unicode MS" w:cstheme="minorHAnsi"/>
          <w:bCs/>
          <w:szCs w:val="24"/>
        </w:rPr>
      </w:pPr>
    </w:p>
    <w:p w14:paraId="2F546F8C" w14:textId="77777777" w:rsidR="000D3C83" w:rsidRPr="009D2063" w:rsidRDefault="000D3C83" w:rsidP="000D3C83">
      <w:pPr>
        <w:pStyle w:val="Paragraphedeliste"/>
        <w:ind w:left="0"/>
        <w:jc w:val="both"/>
        <w:rPr>
          <w:rFonts w:eastAsia="Arial Unicode MS" w:cstheme="minorHAnsi"/>
          <w:bCs/>
          <w:szCs w:val="24"/>
        </w:rPr>
      </w:pPr>
      <w:r w:rsidRPr="009D2063">
        <w:rPr>
          <w:rFonts w:eastAsia="Arial Unicode MS" w:cstheme="minorHAnsi"/>
          <w:bCs/>
          <w:szCs w:val="24"/>
        </w:rPr>
        <w:lastRenderedPageBreak/>
        <w:t>La journée de solidarité sera accomplie par le travail de 7h, pour un temps complet, en complément des horaires habituels et non rémunéré. Elle sera proratisée pour les agents travaillant à temps partiel et à temps non complet.</w:t>
      </w:r>
    </w:p>
    <w:p w14:paraId="55482C7E" w14:textId="77777777" w:rsidR="000D3C83" w:rsidRPr="009D2063" w:rsidRDefault="000D3C83" w:rsidP="000D3C83">
      <w:pPr>
        <w:pStyle w:val="Paragraphedeliste"/>
        <w:ind w:left="0"/>
        <w:jc w:val="both"/>
        <w:rPr>
          <w:rFonts w:eastAsia="Arial Unicode MS" w:cstheme="minorHAnsi"/>
          <w:bCs/>
          <w:szCs w:val="24"/>
        </w:rPr>
      </w:pPr>
    </w:p>
    <w:p w14:paraId="4CDFC76C" w14:textId="77777777" w:rsidR="000D3C83" w:rsidRPr="009D2063" w:rsidRDefault="000D3C83" w:rsidP="000D3C83">
      <w:pPr>
        <w:pStyle w:val="Paragraphedeliste"/>
        <w:ind w:left="0"/>
        <w:jc w:val="both"/>
        <w:rPr>
          <w:rFonts w:eastAsia="Arial Unicode MS" w:cstheme="minorHAnsi"/>
          <w:bCs/>
          <w:szCs w:val="24"/>
        </w:rPr>
      </w:pPr>
      <w:r w:rsidRPr="009D2063">
        <w:rPr>
          <w:rFonts w:eastAsia="Arial Unicode MS" w:cstheme="minorHAnsi"/>
          <w:bCs/>
          <w:szCs w:val="24"/>
        </w:rPr>
        <w:t>La journée de solidarité sera effectuée par le travail de 7 heures précédemment non travaillées, à l’exclusion des jours de congé annuel. Par exemple : la journée de solidarité pourra être réalisée par l’accomplissement d’heures supplémentaires continues ou fractionnées et étalées selon le rythme souhaité.</w:t>
      </w:r>
    </w:p>
    <w:p w14:paraId="3FF2586B" w14:textId="77777777" w:rsidR="000D3C83" w:rsidRPr="009D2063" w:rsidRDefault="000D3C83" w:rsidP="000D3C83">
      <w:pPr>
        <w:pStyle w:val="Paragraphedeliste"/>
        <w:ind w:left="0"/>
        <w:jc w:val="both"/>
        <w:rPr>
          <w:rFonts w:eastAsia="Arial Unicode MS" w:cstheme="minorHAnsi"/>
          <w:bCs/>
          <w:szCs w:val="24"/>
        </w:rPr>
      </w:pPr>
    </w:p>
    <w:p w14:paraId="4F36E713" w14:textId="77777777" w:rsidR="000D3C83" w:rsidRDefault="000D3C83" w:rsidP="000D3C83">
      <w:pPr>
        <w:pStyle w:val="Paragraphedeliste"/>
        <w:ind w:left="0"/>
        <w:jc w:val="both"/>
        <w:rPr>
          <w:rFonts w:eastAsia="Arial Unicode MS" w:cstheme="minorHAnsi"/>
          <w:bCs/>
          <w:szCs w:val="24"/>
        </w:rPr>
      </w:pPr>
      <w:r w:rsidRPr="009D2063">
        <w:rPr>
          <w:rFonts w:eastAsia="Arial Unicode MS" w:cstheme="minorHAnsi"/>
          <w:bCs/>
          <w:szCs w:val="24"/>
        </w:rPr>
        <w:t>L’accomplissement de la journée de solidarité sous forme d’un congé annuel ne sera pas autorisé.</w:t>
      </w:r>
    </w:p>
    <w:p w14:paraId="084B9474" w14:textId="77777777" w:rsidR="000D3C83" w:rsidRDefault="000D3C83" w:rsidP="000D3C83">
      <w:pPr>
        <w:pStyle w:val="Paragraphedeliste"/>
        <w:ind w:left="0"/>
        <w:jc w:val="both"/>
        <w:rPr>
          <w:rFonts w:eastAsia="Arial Unicode MS" w:cstheme="minorHAnsi"/>
          <w:bCs/>
          <w:szCs w:val="24"/>
        </w:rPr>
      </w:pPr>
    </w:p>
    <w:p w14:paraId="568AE3BB" w14:textId="040C0147" w:rsidR="000D3C83" w:rsidRDefault="00920F4D" w:rsidP="000D3C83">
      <w:pPr>
        <w:pStyle w:val="Paragraphedeliste"/>
        <w:pBdr>
          <w:top w:val="single" w:sz="4" w:space="1" w:color="auto"/>
          <w:left w:val="single" w:sz="4" w:space="4" w:color="auto"/>
          <w:bottom w:val="single" w:sz="4" w:space="1" w:color="auto"/>
          <w:right w:val="single" w:sz="4" w:space="4" w:color="auto"/>
        </w:pBdr>
        <w:ind w:left="0"/>
        <w:jc w:val="both"/>
        <w:rPr>
          <w:rFonts w:eastAsia="Arial Unicode MS" w:cstheme="minorHAnsi"/>
          <w:bCs/>
          <w:szCs w:val="24"/>
        </w:rPr>
      </w:pPr>
      <w:r>
        <w:rPr>
          <w:rFonts w:eastAsia="Arial Unicode MS" w:cstheme="minorHAnsi"/>
          <w:bCs/>
          <w:szCs w:val="24"/>
        </w:rPr>
        <w:t>P</w:t>
      </w:r>
      <w:r w:rsidR="000D3C83">
        <w:rPr>
          <w:rFonts w:eastAsia="Arial Unicode MS" w:cstheme="minorHAnsi"/>
          <w:bCs/>
          <w:szCs w:val="24"/>
        </w:rPr>
        <w:t xml:space="preserve">our : </w:t>
      </w:r>
      <w:r w:rsidR="00D407F8">
        <w:rPr>
          <w:rFonts w:eastAsia="Arial Unicode MS" w:cstheme="minorHAnsi"/>
          <w:bCs/>
          <w:szCs w:val="24"/>
        </w:rPr>
        <w:t>15</w:t>
      </w:r>
    </w:p>
    <w:p w14:paraId="64C3DF80" w14:textId="77777777" w:rsidR="00920F4D" w:rsidRDefault="00920F4D" w:rsidP="000D3C83">
      <w:pPr>
        <w:pStyle w:val="Paragraphedeliste"/>
        <w:pBdr>
          <w:top w:val="single" w:sz="4" w:space="1" w:color="auto"/>
          <w:left w:val="single" w:sz="4" w:space="4" w:color="auto"/>
          <w:bottom w:val="single" w:sz="4" w:space="1" w:color="auto"/>
          <w:right w:val="single" w:sz="4" w:space="4" w:color="auto"/>
        </w:pBdr>
        <w:ind w:left="0"/>
        <w:jc w:val="both"/>
        <w:rPr>
          <w:rFonts w:eastAsia="Arial Unicode MS" w:cstheme="minorHAnsi"/>
          <w:bCs/>
          <w:szCs w:val="24"/>
        </w:rPr>
      </w:pPr>
    </w:p>
    <w:p w14:paraId="294F629D" w14:textId="5B99B3AB" w:rsidR="000D3C83" w:rsidRDefault="00920F4D" w:rsidP="000D3C83">
      <w:pPr>
        <w:pStyle w:val="Paragraphedeliste"/>
        <w:pBdr>
          <w:top w:val="single" w:sz="4" w:space="1" w:color="auto"/>
          <w:left w:val="single" w:sz="4" w:space="4" w:color="auto"/>
          <w:bottom w:val="single" w:sz="4" w:space="1" w:color="auto"/>
          <w:right w:val="single" w:sz="4" w:space="4" w:color="auto"/>
        </w:pBdr>
        <w:ind w:left="0"/>
        <w:jc w:val="both"/>
        <w:rPr>
          <w:rFonts w:eastAsia="Arial Unicode MS" w:cstheme="minorHAnsi"/>
          <w:bCs/>
          <w:szCs w:val="24"/>
        </w:rPr>
      </w:pPr>
      <w:r>
        <w:rPr>
          <w:rFonts w:eastAsia="Arial Unicode MS" w:cstheme="minorHAnsi"/>
          <w:bCs/>
          <w:szCs w:val="24"/>
        </w:rPr>
        <w:t>C</w:t>
      </w:r>
      <w:r w:rsidR="000D3C83">
        <w:rPr>
          <w:rFonts w:eastAsia="Arial Unicode MS" w:cstheme="minorHAnsi"/>
          <w:bCs/>
          <w:szCs w:val="24"/>
        </w:rPr>
        <w:t xml:space="preserve">ontre : </w:t>
      </w:r>
      <w:r w:rsidR="00D407F8">
        <w:rPr>
          <w:rFonts w:eastAsia="Arial Unicode MS" w:cstheme="minorHAnsi"/>
          <w:bCs/>
          <w:szCs w:val="24"/>
        </w:rPr>
        <w:t>0</w:t>
      </w:r>
    </w:p>
    <w:p w14:paraId="5298EBEC" w14:textId="77777777" w:rsidR="00920F4D" w:rsidRDefault="00920F4D" w:rsidP="000D3C83">
      <w:pPr>
        <w:pStyle w:val="Paragraphedeliste"/>
        <w:pBdr>
          <w:top w:val="single" w:sz="4" w:space="1" w:color="auto"/>
          <w:left w:val="single" w:sz="4" w:space="4" w:color="auto"/>
          <w:bottom w:val="single" w:sz="4" w:space="1" w:color="auto"/>
          <w:right w:val="single" w:sz="4" w:space="4" w:color="auto"/>
        </w:pBdr>
        <w:ind w:left="0"/>
        <w:jc w:val="both"/>
        <w:rPr>
          <w:rFonts w:eastAsia="Arial Unicode MS" w:cstheme="minorHAnsi"/>
          <w:bCs/>
          <w:szCs w:val="24"/>
        </w:rPr>
      </w:pPr>
    </w:p>
    <w:p w14:paraId="6586E72B" w14:textId="328E8DC6" w:rsidR="000D3C83" w:rsidRPr="009D2063" w:rsidRDefault="00920F4D" w:rsidP="000D3C83">
      <w:pPr>
        <w:pStyle w:val="Paragraphedeliste"/>
        <w:pBdr>
          <w:top w:val="single" w:sz="4" w:space="1" w:color="auto"/>
          <w:left w:val="single" w:sz="4" w:space="4" w:color="auto"/>
          <w:bottom w:val="single" w:sz="4" w:space="1" w:color="auto"/>
          <w:right w:val="single" w:sz="4" w:space="4" w:color="auto"/>
        </w:pBdr>
        <w:ind w:left="0"/>
        <w:jc w:val="both"/>
        <w:rPr>
          <w:rFonts w:eastAsia="Arial Unicode MS" w:cstheme="minorHAnsi"/>
          <w:bCs/>
          <w:szCs w:val="24"/>
        </w:rPr>
      </w:pPr>
      <w:r>
        <w:rPr>
          <w:rFonts w:eastAsia="Arial Unicode MS" w:cstheme="minorHAnsi"/>
          <w:bCs/>
          <w:szCs w:val="24"/>
        </w:rPr>
        <w:t>A</w:t>
      </w:r>
      <w:r w:rsidR="000D3C83">
        <w:rPr>
          <w:rFonts w:eastAsia="Arial Unicode MS" w:cstheme="minorHAnsi"/>
          <w:bCs/>
          <w:szCs w:val="24"/>
        </w:rPr>
        <w:t xml:space="preserve">bstention : </w:t>
      </w:r>
      <w:r w:rsidR="00D407F8">
        <w:rPr>
          <w:rFonts w:eastAsia="Arial Unicode MS" w:cstheme="minorHAnsi"/>
          <w:bCs/>
          <w:szCs w:val="24"/>
        </w:rPr>
        <w:t>1</w:t>
      </w:r>
    </w:p>
    <w:p w14:paraId="035F3710" w14:textId="77777777" w:rsidR="000D3C83" w:rsidRDefault="000D3C83" w:rsidP="000D3C83">
      <w:pPr>
        <w:jc w:val="both"/>
      </w:pPr>
    </w:p>
    <w:p w14:paraId="76D01D80" w14:textId="77777777" w:rsidR="000D3C83" w:rsidRDefault="000D3C83" w:rsidP="000D3C83">
      <w:pPr>
        <w:jc w:val="both"/>
        <w:rPr>
          <w:b/>
          <w:bCs/>
        </w:rPr>
      </w:pPr>
      <w:r w:rsidRPr="00B06D61">
        <w:rPr>
          <w:b/>
          <w:bCs/>
        </w:rPr>
        <w:t>MISE EN ŒUVRE DU COMPTE EPARGNE TEMPS</w:t>
      </w:r>
    </w:p>
    <w:p w14:paraId="2908BCA6" w14:textId="7120C56E" w:rsidR="000D3C83" w:rsidRPr="00B06D61" w:rsidRDefault="000D3C83" w:rsidP="000D3C83">
      <w:pPr>
        <w:jc w:val="both"/>
      </w:pPr>
      <w:r w:rsidRPr="00B06D61">
        <w:t xml:space="preserve">Le conseil municipal avait institué le compte épargne temps par délibération de décembre 2008. La réglementation ayant évolué, une demande </w:t>
      </w:r>
      <w:r w:rsidR="00920F4D">
        <w:t xml:space="preserve">a </w:t>
      </w:r>
      <w:r w:rsidRPr="00B06D61">
        <w:t xml:space="preserve">été transmise au comité technique qui a donné </w:t>
      </w:r>
      <w:r w:rsidR="00540CB9">
        <w:t>un</w:t>
      </w:r>
      <w:r w:rsidRPr="00B06D61">
        <w:t xml:space="preserve"> avis </w:t>
      </w:r>
      <w:r w:rsidR="00540CB9">
        <w:t xml:space="preserve">favorable </w:t>
      </w:r>
      <w:r w:rsidRPr="00B06D61">
        <w:t>le 25 juin 2019.</w:t>
      </w:r>
    </w:p>
    <w:p w14:paraId="4F39FD9A" w14:textId="77777777" w:rsidR="000D3C83" w:rsidRPr="001D4D71" w:rsidRDefault="000D3C83" w:rsidP="000D3C83">
      <w:pPr>
        <w:jc w:val="both"/>
        <w:rPr>
          <w:rFonts w:eastAsia="Arial Unicode MS" w:cstheme="minorHAnsi"/>
        </w:rPr>
      </w:pPr>
      <w:r>
        <w:rPr>
          <w:rFonts w:eastAsia="Arial Unicode MS" w:cstheme="minorHAnsi"/>
        </w:rPr>
        <w:t>Monsieur l</w:t>
      </w:r>
      <w:r w:rsidRPr="001D4D71">
        <w:rPr>
          <w:rFonts w:eastAsia="Arial Unicode MS" w:cstheme="minorHAnsi"/>
        </w:rPr>
        <w:t>e Maire rappelle à l’assemblée que l’organe délibérant détermine après consultation du Comité technique, dans le respect de l’intérêt du service, les règles d’ouverture, de fonctionnement, de gestion et de fermeture du compte épargne temps ainsi que les modalités de son utilisation par l’agent.</w:t>
      </w:r>
    </w:p>
    <w:p w14:paraId="7EC2D9DA" w14:textId="77777777" w:rsidR="000D3C83" w:rsidRPr="001D4D71" w:rsidRDefault="000D3C83" w:rsidP="000D3C83">
      <w:pPr>
        <w:jc w:val="both"/>
        <w:rPr>
          <w:rFonts w:eastAsia="Arial Unicode MS" w:cstheme="minorHAnsi"/>
        </w:rPr>
      </w:pPr>
      <w:r w:rsidRPr="001D4D71">
        <w:rPr>
          <w:rFonts w:eastAsia="Arial Unicode MS" w:cstheme="minorHAnsi"/>
        </w:rPr>
        <w:t>Le compte épargne temps est ouvert aux agents titulaires et contractuels justifiant d’une année de service. Les stagiaires et les agents contractuels de droit privé ne peuvent bénéficier du CET.</w:t>
      </w:r>
    </w:p>
    <w:p w14:paraId="142C8964" w14:textId="77777777" w:rsidR="000D3C83" w:rsidRPr="001D4D71" w:rsidRDefault="000D3C83" w:rsidP="000D3C83">
      <w:pPr>
        <w:jc w:val="both"/>
        <w:rPr>
          <w:rFonts w:eastAsia="Arial Unicode MS" w:cstheme="minorHAnsi"/>
        </w:rPr>
      </w:pPr>
      <w:r w:rsidRPr="001D4D71">
        <w:rPr>
          <w:rFonts w:eastAsia="Arial Unicode MS" w:cstheme="minorHAnsi"/>
        </w:rPr>
        <w:t>La règlementation fixe le cadre général mais il appartient à l’assemblée de fixer les modalités d’application locales.</w:t>
      </w:r>
    </w:p>
    <w:p w14:paraId="0B9F8B49" w14:textId="4F9F990C" w:rsidR="000D3C83" w:rsidRPr="001D4D71" w:rsidRDefault="000D3C83" w:rsidP="000D3C83">
      <w:pPr>
        <w:jc w:val="both"/>
        <w:rPr>
          <w:rFonts w:eastAsia="Arial Unicode MS" w:cstheme="minorHAnsi"/>
        </w:rPr>
      </w:pPr>
      <w:r>
        <w:rPr>
          <w:rFonts w:eastAsia="Arial Unicode MS" w:cstheme="minorHAnsi"/>
        </w:rPr>
        <w:t xml:space="preserve">Monsieur le </w:t>
      </w:r>
      <w:r w:rsidRPr="001D4D71">
        <w:rPr>
          <w:rFonts w:eastAsia="Arial Unicode MS" w:cstheme="minorHAnsi"/>
        </w:rPr>
        <w:t xml:space="preserve">Maire propose à l’assemblée de fixer comme suit les modalités d’application du compte épargne temps prévu au bénéfice des agents territoriaux, à compter du </w:t>
      </w:r>
      <w:r>
        <w:rPr>
          <w:rFonts w:eastAsia="Arial Unicode MS" w:cstheme="minorHAnsi"/>
        </w:rPr>
        <w:t>1</w:t>
      </w:r>
      <w:r w:rsidRPr="00C171C6">
        <w:rPr>
          <w:rFonts w:eastAsia="Arial Unicode MS" w:cstheme="minorHAnsi"/>
          <w:vertAlign w:val="superscript"/>
        </w:rPr>
        <w:t>er</w:t>
      </w:r>
      <w:r>
        <w:rPr>
          <w:rFonts w:eastAsia="Arial Unicode MS" w:cstheme="minorHAnsi"/>
        </w:rPr>
        <w:t xml:space="preserve"> septembre 2019.</w:t>
      </w:r>
    </w:p>
    <w:p w14:paraId="02AF2DB7" w14:textId="77777777" w:rsidR="000D3C83" w:rsidRPr="001D4D71" w:rsidRDefault="000D3C83" w:rsidP="000D3C83">
      <w:pPr>
        <w:jc w:val="both"/>
        <w:rPr>
          <w:rFonts w:eastAsia="Arial Unicode MS" w:cstheme="minorHAnsi"/>
        </w:rPr>
      </w:pPr>
    </w:p>
    <w:p w14:paraId="15796FD1" w14:textId="77777777" w:rsidR="000D3C83" w:rsidRPr="001D4D71" w:rsidRDefault="000D3C83" w:rsidP="000D3C83">
      <w:pPr>
        <w:jc w:val="center"/>
        <w:rPr>
          <w:rFonts w:eastAsia="Arial Unicode MS" w:cstheme="minorHAnsi"/>
          <w:b/>
        </w:rPr>
      </w:pPr>
      <w:r w:rsidRPr="001D4D71">
        <w:rPr>
          <w:rFonts w:eastAsia="Arial Unicode MS" w:cstheme="minorHAnsi"/>
          <w:b/>
        </w:rPr>
        <w:t>Alimentation du CET :</w:t>
      </w:r>
    </w:p>
    <w:p w14:paraId="6EC37074" w14:textId="77777777" w:rsidR="000D3C83" w:rsidRPr="001D4D71" w:rsidRDefault="000D3C83" w:rsidP="000D3C83">
      <w:pPr>
        <w:jc w:val="both"/>
        <w:rPr>
          <w:rFonts w:eastAsia="Arial Unicode MS" w:cstheme="minorHAnsi"/>
        </w:rPr>
      </w:pPr>
      <w:r w:rsidRPr="001D4D71">
        <w:rPr>
          <w:rFonts w:eastAsia="Arial Unicode MS" w:cstheme="minorHAnsi"/>
        </w:rPr>
        <w:t>Ce compte permet à leurs titulaires d’accumuler des droits à congés. Il est ouvert à la demande expresse de l’agent qui est informé annuellement des droits épargnés et consommés.</w:t>
      </w:r>
    </w:p>
    <w:p w14:paraId="5ABE0694" w14:textId="77777777" w:rsidR="000D3C83" w:rsidRPr="001D4D71" w:rsidRDefault="000D3C83" w:rsidP="000D3C83">
      <w:pPr>
        <w:jc w:val="both"/>
        <w:rPr>
          <w:rFonts w:eastAsia="Arial Unicode MS" w:cstheme="minorHAnsi"/>
        </w:rPr>
      </w:pPr>
      <w:r w:rsidRPr="001D4D71">
        <w:rPr>
          <w:rFonts w:eastAsia="Arial Unicode MS" w:cstheme="minorHAnsi"/>
        </w:rPr>
        <w:t>L’alimentation du CET doit être effectuée par demande écrite de l’agent avant la fin de chaque année civile ou au plus tard le 31 janvier de l’année suivante.</w:t>
      </w:r>
    </w:p>
    <w:p w14:paraId="470F4018" w14:textId="77777777" w:rsidR="000D3C83" w:rsidRPr="001D4D71" w:rsidRDefault="000D3C83" w:rsidP="000D3C83">
      <w:pPr>
        <w:jc w:val="both"/>
        <w:rPr>
          <w:rFonts w:eastAsia="Arial Unicode MS" w:cstheme="minorHAnsi"/>
        </w:rPr>
      </w:pPr>
      <w:r w:rsidRPr="001D4D71">
        <w:rPr>
          <w:rFonts w:eastAsia="Arial Unicode MS" w:cstheme="minorHAnsi"/>
        </w:rPr>
        <w:t>Les jours pouvant être épargnés sont :</w:t>
      </w:r>
    </w:p>
    <w:p w14:paraId="2F1ABAE0" w14:textId="77777777" w:rsidR="000D3C83" w:rsidRPr="001D4D71" w:rsidRDefault="000D3C83" w:rsidP="000D3C83">
      <w:pPr>
        <w:pStyle w:val="Paragraphedeliste"/>
        <w:numPr>
          <w:ilvl w:val="0"/>
          <w:numId w:val="4"/>
        </w:numPr>
        <w:spacing w:after="0" w:line="240" w:lineRule="auto"/>
        <w:jc w:val="both"/>
        <w:rPr>
          <w:rFonts w:eastAsia="Arial Unicode MS" w:cstheme="minorHAnsi"/>
        </w:rPr>
      </w:pPr>
      <w:r w:rsidRPr="001D4D71">
        <w:rPr>
          <w:rFonts w:eastAsia="Arial Unicode MS" w:cstheme="minorHAnsi"/>
        </w:rPr>
        <w:t>Les jours de congés annuels sans que le nombre de jours pris au titre de l’année soit inférieur à 20 ;</w:t>
      </w:r>
    </w:p>
    <w:p w14:paraId="2F7FFB44" w14:textId="77777777" w:rsidR="000D3C83" w:rsidRPr="001D4D71" w:rsidRDefault="000D3C83" w:rsidP="000D3C83">
      <w:pPr>
        <w:pStyle w:val="Paragraphedeliste"/>
        <w:numPr>
          <w:ilvl w:val="0"/>
          <w:numId w:val="4"/>
        </w:numPr>
        <w:spacing w:after="0" w:line="240" w:lineRule="auto"/>
        <w:jc w:val="both"/>
        <w:rPr>
          <w:rFonts w:eastAsia="Arial Unicode MS" w:cstheme="minorHAnsi"/>
        </w:rPr>
      </w:pPr>
      <w:r w:rsidRPr="001D4D71">
        <w:rPr>
          <w:rFonts w:eastAsia="Arial Unicode MS" w:cstheme="minorHAnsi"/>
        </w:rPr>
        <w:t>Les jours RTT (jours de réduction du temps de travail), sans limite particulière ;</w:t>
      </w:r>
    </w:p>
    <w:p w14:paraId="5BD73C03" w14:textId="77777777" w:rsidR="000D3C83" w:rsidRPr="001D4D71" w:rsidRDefault="000D3C83" w:rsidP="000D3C83">
      <w:pPr>
        <w:pStyle w:val="Paragraphedeliste"/>
        <w:numPr>
          <w:ilvl w:val="0"/>
          <w:numId w:val="4"/>
        </w:numPr>
        <w:spacing w:after="0" w:line="240" w:lineRule="auto"/>
        <w:jc w:val="both"/>
        <w:rPr>
          <w:rFonts w:eastAsia="Arial Unicode MS" w:cstheme="minorHAnsi"/>
        </w:rPr>
      </w:pPr>
      <w:r w:rsidRPr="001D4D71">
        <w:rPr>
          <w:rFonts w:eastAsia="Arial Unicode MS" w:cstheme="minorHAnsi"/>
        </w:rPr>
        <w:t>Et éventuellement des repos compensateurs</w:t>
      </w:r>
    </w:p>
    <w:p w14:paraId="6B2636E6" w14:textId="77777777" w:rsidR="000D3C83" w:rsidRPr="001D4D71" w:rsidRDefault="000D3C83" w:rsidP="000D3C83">
      <w:pPr>
        <w:jc w:val="both"/>
        <w:rPr>
          <w:rFonts w:eastAsia="Arial Unicode MS" w:cstheme="minorHAnsi"/>
        </w:rPr>
      </w:pPr>
    </w:p>
    <w:p w14:paraId="34150067" w14:textId="405CD132" w:rsidR="000D3C83" w:rsidRPr="001D4D71" w:rsidRDefault="000D3C83" w:rsidP="000D3C83">
      <w:pPr>
        <w:jc w:val="both"/>
        <w:rPr>
          <w:rFonts w:eastAsia="Arial Unicode MS" w:cstheme="minorHAnsi"/>
        </w:rPr>
      </w:pPr>
      <w:r w:rsidRPr="001D4D71">
        <w:rPr>
          <w:rFonts w:eastAsia="Arial Unicode MS" w:cstheme="minorHAnsi"/>
        </w:rPr>
        <w:lastRenderedPageBreak/>
        <w:t xml:space="preserve">Le nombre </w:t>
      </w:r>
      <w:r>
        <w:rPr>
          <w:rFonts w:eastAsia="Arial Unicode MS" w:cstheme="minorHAnsi"/>
        </w:rPr>
        <w:t>maximum</w:t>
      </w:r>
      <w:r w:rsidR="00920F4D" w:rsidRPr="00920F4D">
        <w:rPr>
          <w:rFonts w:eastAsia="Arial Unicode MS" w:cstheme="minorHAnsi"/>
        </w:rPr>
        <w:t xml:space="preserve"> </w:t>
      </w:r>
      <w:r w:rsidR="00920F4D" w:rsidRPr="001D4D71">
        <w:rPr>
          <w:rFonts w:eastAsia="Arial Unicode MS" w:cstheme="minorHAnsi"/>
        </w:rPr>
        <w:t xml:space="preserve">de </w:t>
      </w:r>
      <w:r w:rsidR="00C265A0" w:rsidRPr="001D4D71">
        <w:rPr>
          <w:rFonts w:eastAsia="Arial Unicode MS" w:cstheme="minorHAnsi"/>
        </w:rPr>
        <w:t xml:space="preserve">jours </w:t>
      </w:r>
      <w:r w:rsidR="00C265A0">
        <w:rPr>
          <w:rFonts w:eastAsia="Arial Unicode MS" w:cstheme="minorHAnsi"/>
        </w:rPr>
        <w:t>épargnés</w:t>
      </w:r>
      <w:r w:rsidRPr="001D4D71">
        <w:rPr>
          <w:rFonts w:eastAsia="Arial Unicode MS" w:cstheme="minorHAnsi"/>
        </w:rPr>
        <w:t xml:space="preserve"> est de 60.</w:t>
      </w:r>
    </w:p>
    <w:p w14:paraId="24BD4A28" w14:textId="77777777" w:rsidR="000D3C83" w:rsidRPr="001D4D71" w:rsidRDefault="000D3C83" w:rsidP="000D3C83">
      <w:pPr>
        <w:jc w:val="center"/>
        <w:rPr>
          <w:rFonts w:eastAsia="Arial Unicode MS" w:cstheme="minorHAnsi"/>
          <w:b/>
        </w:rPr>
      </w:pPr>
      <w:r w:rsidRPr="001D4D71">
        <w:rPr>
          <w:rFonts w:eastAsia="Arial Unicode MS" w:cstheme="minorHAnsi"/>
          <w:b/>
        </w:rPr>
        <w:t>Utilisation du CET :</w:t>
      </w:r>
    </w:p>
    <w:p w14:paraId="0CD2B91A" w14:textId="77777777" w:rsidR="000D3C83" w:rsidRPr="001D4D71" w:rsidRDefault="000D3C83" w:rsidP="000D3C83">
      <w:pPr>
        <w:jc w:val="both"/>
        <w:rPr>
          <w:rFonts w:eastAsia="Arial Unicode MS" w:cstheme="minorHAnsi"/>
        </w:rPr>
      </w:pPr>
      <w:r w:rsidRPr="001D4D71">
        <w:rPr>
          <w:rFonts w:eastAsia="Arial Unicode MS" w:cstheme="minorHAnsi"/>
        </w:rPr>
        <w:t>L’agent peut utiliser tout ou partie de son CET, sous la forme de congés, pris dans les mêmes conditions que les congés annuels, dès qu’il le souhaite, sous réserve des nécessités de service.</w:t>
      </w:r>
    </w:p>
    <w:p w14:paraId="0B13C263" w14:textId="77777777" w:rsidR="000D3C83" w:rsidRPr="001D4D71" w:rsidRDefault="000D3C83" w:rsidP="000D3C83">
      <w:pPr>
        <w:jc w:val="both"/>
        <w:rPr>
          <w:rFonts w:eastAsia="Arial Unicode MS" w:cstheme="minorHAnsi"/>
        </w:rPr>
      </w:pPr>
      <w:r w:rsidRPr="001D4D71">
        <w:rPr>
          <w:rFonts w:eastAsia="Arial Unicode MS" w:cstheme="minorHAnsi"/>
        </w:rPr>
        <w:t>Les nécessités de service ne pourront être opposées à l’utilisation des jours épargnés lorsque le compte arrive à échéance, à la cessation définitive de fonctions ou si le congé est sollicité à la suite d’un congé de maternité, adoption, paternité ou solidarité familiale.</w:t>
      </w:r>
    </w:p>
    <w:p w14:paraId="1014FC53" w14:textId="77777777" w:rsidR="000D3C83" w:rsidRPr="001D4D71" w:rsidRDefault="000D3C83" w:rsidP="000D3C83">
      <w:pPr>
        <w:jc w:val="center"/>
        <w:rPr>
          <w:rFonts w:eastAsia="Arial Unicode MS" w:cstheme="minorHAnsi"/>
          <w:b/>
        </w:rPr>
      </w:pPr>
      <w:r w:rsidRPr="001D4D71">
        <w:rPr>
          <w:rFonts w:eastAsia="Arial Unicode MS" w:cstheme="minorHAnsi"/>
          <w:b/>
        </w:rPr>
        <w:t>Conservation des droits en cas de départ :</w:t>
      </w:r>
    </w:p>
    <w:p w14:paraId="1020C403" w14:textId="77777777" w:rsidR="000D3C83" w:rsidRPr="001D4D71" w:rsidRDefault="000D3C83" w:rsidP="000D3C83">
      <w:pPr>
        <w:jc w:val="both"/>
        <w:rPr>
          <w:rFonts w:eastAsia="Arial Unicode MS" w:cstheme="minorHAnsi"/>
        </w:rPr>
      </w:pPr>
      <w:r w:rsidRPr="001D4D71">
        <w:rPr>
          <w:rFonts w:eastAsia="Arial Unicode MS" w:cstheme="minorHAnsi"/>
        </w:rPr>
        <w:t>L’agent conserve ses droits en cas de changement de collectivité ou d’établissement par voie de mutation ou de détachement dans la Fonction Publique Territoriale. C’est alors la collectivité d’accueil qui assurera la gestion du compte.</w:t>
      </w:r>
    </w:p>
    <w:p w14:paraId="540C61FC" w14:textId="77777777" w:rsidR="000D3C83" w:rsidRPr="001D4D71" w:rsidRDefault="000D3C83" w:rsidP="000D3C83">
      <w:pPr>
        <w:jc w:val="both"/>
        <w:rPr>
          <w:rFonts w:eastAsia="Arial Unicode MS" w:cstheme="minorHAnsi"/>
        </w:rPr>
      </w:pPr>
      <w:r w:rsidRPr="001D4D71">
        <w:rPr>
          <w:rFonts w:eastAsia="Arial Unicode MS" w:cstheme="minorHAnsi"/>
        </w:rPr>
        <w:t>Dans le cas de mise à disposition auprès d’une organisation syndicale, c’est la collectivité ou l’établissement d’affectation qui assure la gestion du compte.</w:t>
      </w:r>
    </w:p>
    <w:p w14:paraId="7A17D18B" w14:textId="7301BC4D" w:rsidR="000D3C83" w:rsidRPr="001D4D71" w:rsidRDefault="000D3C83" w:rsidP="000D3C83">
      <w:pPr>
        <w:jc w:val="both"/>
        <w:rPr>
          <w:rFonts w:eastAsia="Arial Unicode MS" w:cstheme="minorHAnsi"/>
        </w:rPr>
      </w:pPr>
      <w:r w:rsidRPr="001D4D71">
        <w:rPr>
          <w:rFonts w:eastAsia="Arial Unicode MS" w:cstheme="minorHAnsi"/>
        </w:rPr>
        <w:t xml:space="preserve">Dans le cas de </w:t>
      </w:r>
      <w:r w:rsidR="00C265A0" w:rsidRPr="001D4D71">
        <w:rPr>
          <w:rFonts w:eastAsia="Arial Unicode MS" w:cstheme="minorHAnsi"/>
        </w:rPr>
        <w:t>disponibilité, d’accomplissement</w:t>
      </w:r>
      <w:r w:rsidRPr="001D4D71">
        <w:rPr>
          <w:rFonts w:eastAsia="Arial Unicode MS" w:cstheme="minorHAnsi"/>
        </w:rPr>
        <w:t xml:space="preserve"> du service national et des activités dans une réserve de congé parental, de mise à disposition, l’agent conserve ses droits mais ne peut les utiliser sauf autorisation de l’administration de gestion et en cas de mise à disposition de l’administration d’emploi.</w:t>
      </w:r>
    </w:p>
    <w:p w14:paraId="7ECEA8E5" w14:textId="77777777" w:rsidR="000D3C83" w:rsidRPr="001D4D71" w:rsidRDefault="000D3C83" w:rsidP="000D3C83">
      <w:pPr>
        <w:jc w:val="both"/>
        <w:rPr>
          <w:rFonts w:eastAsia="Arial Unicode MS" w:cstheme="minorHAnsi"/>
        </w:rPr>
      </w:pPr>
    </w:p>
    <w:p w14:paraId="59324C81" w14:textId="77777777" w:rsidR="000D3C83" w:rsidRPr="001D4D71" w:rsidRDefault="000D3C83" w:rsidP="000D3C83">
      <w:pPr>
        <w:jc w:val="center"/>
        <w:rPr>
          <w:rFonts w:eastAsia="Arial Unicode MS" w:cstheme="minorHAnsi"/>
          <w:b/>
        </w:rPr>
      </w:pPr>
      <w:r w:rsidRPr="001D4D71">
        <w:rPr>
          <w:rFonts w:eastAsia="Arial Unicode MS" w:cstheme="minorHAnsi"/>
          <w:b/>
        </w:rPr>
        <w:t>Clôture du CET :</w:t>
      </w:r>
    </w:p>
    <w:p w14:paraId="79ADDFAE" w14:textId="77777777" w:rsidR="000D3C83" w:rsidRPr="001D4D71" w:rsidRDefault="000D3C83" w:rsidP="000D3C83">
      <w:pPr>
        <w:jc w:val="both"/>
        <w:rPr>
          <w:rFonts w:eastAsia="Arial Unicode MS" w:cstheme="minorHAnsi"/>
        </w:rPr>
      </w:pPr>
      <w:r w:rsidRPr="001D4D71">
        <w:rPr>
          <w:rFonts w:eastAsia="Arial Unicode MS" w:cstheme="minorHAnsi"/>
        </w:rPr>
        <w:t>Le compte est clôturé à la date de cessation définitive d’activité dans la Fonction Publique Territoriale. Les jours épargnés sur le compte doivent ainsi être soldés avant cette date.</w:t>
      </w:r>
    </w:p>
    <w:p w14:paraId="1E6B08DB" w14:textId="77777777" w:rsidR="000D3C83" w:rsidRPr="001D4D71" w:rsidRDefault="000D3C83" w:rsidP="000D3C83">
      <w:pPr>
        <w:jc w:val="both"/>
        <w:rPr>
          <w:rFonts w:eastAsia="Arial Unicode MS" w:cstheme="minorHAnsi"/>
        </w:rPr>
      </w:pPr>
    </w:p>
    <w:p w14:paraId="0B3F69BE" w14:textId="77777777" w:rsidR="000D3C83" w:rsidRPr="001D4D71" w:rsidRDefault="000D3C83" w:rsidP="000D3C83">
      <w:pPr>
        <w:jc w:val="both"/>
        <w:rPr>
          <w:rFonts w:eastAsia="Arial Unicode MS" w:cstheme="minorHAnsi"/>
        </w:rPr>
      </w:pPr>
      <w:r w:rsidRPr="001D4D71">
        <w:rPr>
          <w:rFonts w:eastAsia="Arial Unicode MS" w:cstheme="minorHAnsi"/>
        </w:rPr>
        <w:t>En cas de décès de l’agent, et seulement dans ce cas, les droits acquis au titre du CET donnent lieu à une indemnisation de ses ayants droit. Les montants sont fixés selon la catégorie de l’agent :</w:t>
      </w:r>
    </w:p>
    <w:p w14:paraId="1AC849A2" w14:textId="77777777" w:rsidR="000D3C83" w:rsidRPr="001D4D71" w:rsidRDefault="000D3C83" w:rsidP="000D3C83">
      <w:pPr>
        <w:ind w:firstLine="708"/>
        <w:jc w:val="both"/>
        <w:rPr>
          <w:rFonts w:eastAsia="Arial Unicode MS" w:cstheme="minorHAnsi"/>
          <w:color w:val="000000" w:themeColor="text1"/>
        </w:rPr>
      </w:pPr>
      <w:r w:rsidRPr="001D4D71">
        <w:rPr>
          <w:rFonts w:eastAsia="Arial Unicode MS" w:cstheme="minorHAnsi"/>
          <w:color w:val="000000" w:themeColor="text1"/>
        </w:rPr>
        <w:t>Catégorie C : 75€ brut par jour</w:t>
      </w:r>
    </w:p>
    <w:p w14:paraId="10BD9AC1" w14:textId="77777777" w:rsidR="000D3C83" w:rsidRPr="001D4D71" w:rsidRDefault="000D3C83" w:rsidP="000D3C83">
      <w:pPr>
        <w:jc w:val="both"/>
        <w:rPr>
          <w:rFonts w:eastAsia="Arial Unicode MS" w:cstheme="minorHAnsi"/>
          <w:color w:val="000000" w:themeColor="text1"/>
        </w:rPr>
      </w:pPr>
      <w:r w:rsidRPr="001D4D71">
        <w:rPr>
          <w:rFonts w:eastAsia="Arial Unicode MS" w:cstheme="minorHAnsi"/>
          <w:color w:val="000000" w:themeColor="text1"/>
        </w:rPr>
        <w:tab/>
        <w:t>Catégorie B : 90€ brut par jour</w:t>
      </w:r>
    </w:p>
    <w:p w14:paraId="54E69BDA" w14:textId="77777777" w:rsidR="000D3C83" w:rsidRPr="001D4D71" w:rsidRDefault="000D3C83" w:rsidP="000D3C83">
      <w:pPr>
        <w:jc w:val="both"/>
        <w:rPr>
          <w:rFonts w:eastAsia="Arial Unicode MS" w:cstheme="minorHAnsi"/>
          <w:color w:val="000000" w:themeColor="text1"/>
        </w:rPr>
      </w:pPr>
      <w:r w:rsidRPr="001D4D71">
        <w:rPr>
          <w:rFonts w:eastAsia="Arial Unicode MS" w:cstheme="minorHAnsi"/>
          <w:color w:val="000000" w:themeColor="text1"/>
        </w:rPr>
        <w:tab/>
        <w:t>Catégorie A : 135€ brut par jour</w:t>
      </w:r>
    </w:p>
    <w:p w14:paraId="2DF5EDD0" w14:textId="77777777" w:rsidR="000D3C83" w:rsidRPr="001D4D71" w:rsidRDefault="000D3C83" w:rsidP="000D3C83">
      <w:pPr>
        <w:jc w:val="both"/>
        <w:rPr>
          <w:rFonts w:eastAsia="Arial Unicode MS" w:cstheme="minorHAnsi"/>
        </w:rPr>
      </w:pPr>
    </w:p>
    <w:p w14:paraId="4EB10274" w14:textId="6B802753" w:rsidR="000D3C83" w:rsidRDefault="00920F4D" w:rsidP="000D3C83">
      <w:pPr>
        <w:pBdr>
          <w:top w:val="single" w:sz="4" w:space="1" w:color="auto"/>
          <w:left w:val="single" w:sz="4" w:space="4" w:color="auto"/>
          <w:bottom w:val="single" w:sz="4" w:space="1" w:color="auto"/>
          <w:right w:val="single" w:sz="4" w:space="4" w:color="auto"/>
        </w:pBdr>
        <w:jc w:val="both"/>
        <w:rPr>
          <w:rFonts w:eastAsia="Arial Unicode MS" w:cstheme="minorHAnsi"/>
        </w:rPr>
      </w:pPr>
      <w:r>
        <w:rPr>
          <w:rFonts w:eastAsia="Arial Unicode MS" w:cstheme="minorHAnsi"/>
        </w:rPr>
        <w:t>P</w:t>
      </w:r>
      <w:r w:rsidR="000D3C83">
        <w:rPr>
          <w:rFonts w:eastAsia="Arial Unicode MS" w:cstheme="minorHAnsi"/>
        </w:rPr>
        <w:t xml:space="preserve">our : </w:t>
      </w:r>
      <w:r w:rsidR="00D407F8">
        <w:rPr>
          <w:rFonts w:eastAsia="Arial Unicode MS" w:cstheme="minorHAnsi"/>
        </w:rPr>
        <w:t>16</w:t>
      </w:r>
    </w:p>
    <w:p w14:paraId="77B7F753" w14:textId="2E718314" w:rsidR="000D3C83" w:rsidRDefault="00920F4D" w:rsidP="000D3C83">
      <w:pPr>
        <w:pBdr>
          <w:top w:val="single" w:sz="4" w:space="1" w:color="auto"/>
          <w:left w:val="single" w:sz="4" w:space="4" w:color="auto"/>
          <w:bottom w:val="single" w:sz="4" w:space="1" w:color="auto"/>
          <w:right w:val="single" w:sz="4" w:space="4" w:color="auto"/>
        </w:pBdr>
        <w:jc w:val="both"/>
        <w:rPr>
          <w:rFonts w:eastAsia="Arial Unicode MS" w:cstheme="minorHAnsi"/>
        </w:rPr>
      </w:pPr>
      <w:r>
        <w:rPr>
          <w:rFonts w:eastAsia="Arial Unicode MS" w:cstheme="minorHAnsi"/>
        </w:rPr>
        <w:t>C</w:t>
      </w:r>
      <w:r w:rsidR="000D3C83">
        <w:rPr>
          <w:rFonts w:eastAsia="Arial Unicode MS" w:cstheme="minorHAnsi"/>
        </w:rPr>
        <w:t xml:space="preserve">ontre : </w:t>
      </w:r>
      <w:r w:rsidR="00D407F8">
        <w:rPr>
          <w:rFonts w:eastAsia="Arial Unicode MS" w:cstheme="minorHAnsi"/>
        </w:rPr>
        <w:t>0</w:t>
      </w:r>
    </w:p>
    <w:p w14:paraId="67982D87" w14:textId="53BE6DB5" w:rsidR="000D3C83" w:rsidRDefault="00920F4D" w:rsidP="000D3C83">
      <w:pPr>
        <w:pBdr>
          <w:top w:val="single" w:sz="4" w:space="1" w:color="auto"/>
          <w:left w:val="single" w:sz="4" w:space="4" w:color="auto"/>
          <w:bottom w:val="single" w:sz="4" w:space="1" w:color="auto"/>
          <w:right w:val="single" w:sz="4" w:space="4" w:color="auto"/>
        </w:pBdr>
        <w:jc w:val="both"/>
      </w:pPr>
      <w:r>
        <w:rPr>
          <w:rFonts w:eastAsia="Arial Unicode MS" w:cstheme="minorHAnsi"/>
        </w:rPr>
        <w:t>A</w:t>
      </w:r>
      <w:r w:rsidR="000D3C83">
        <w:rPr>
          <w:rFonts w:eastAsia="Arial Unicode MS" w:cstheme="minorHAnsi"/>
        </w:rPr>
        <w:t xml:space="preserve">bstention : </w:t>
      </w:r>
      <w:r w:rsidR="00D407F8">
        <w:rPr>
          <w:rFonts w:eastAsia="Arial Unicode MS" w:cstheme="minorHAnsi"/>
        </w:rPr>
        <w:t>0</w:t>
      </w:r>
    </w:p>
    <w:p w14:paraId="5631ECB2" w14:textId="77777777" w:rsidR="0021330F" w:rsidRDefault="0021330F" w:rsidP="00B51983">
      <w:pPr>
        <w:jc w:val="both"/>
        <w:rPr>
          <w:b/>
          <w:bCs/>
        </w:rPr>
      </w:pPr>
    </w:p>
    <w:p w14:paraId="22785EFE" w14:textId="6F99AE68" w:rsidR="00F56306" w:rsidRDefault="00B51983" w:rsidP="00B51983">
      <w:pPr>
        <w:jc w:val="both"/>
        <w:rPr>
          <w:b/>
          <w:bCs/>
        </w:rPr>
      </w:pPr>
      <w:r w:rsidRPr="00621734">
        <w:rPr>
          <w:b/>
          <w:bCs/>
        </w:rPr>
        <w:t xml:space="preserve">REVALORISATION DES MONTANTS DE REMBOURSEMENTS DES FRAIS </w:t>
      </w:r>
      <w:r w:rsidR="00F56306" w:rsidRPr="00621734">
        <w:rPr>
          <w:b/>
          <w:bCs/>
        </w:rPr>
        <w:t xml:space="preserve">KILOMETRIQUES, </w:t>
      </w:r>
      <w:r w:rsidRPr="00621734">
        <w:rPr>
          <w:b/>
          <w:bCs/>
        </w:rPr>
        <w:t>DE REPAS</w:t>
      </w:r>
      <w:r w:rsidR="00F56306" w:rsidRPr="00621734">
        <w:rPr>
          <w:b/>
          <w:bCs/>
        </w:rPr>
        <w:t xml:space="preserve"> ET </w:t>
      </w:r>
      <w:r w:rsidR="00C265A0" w:rsidRPr="00621734">
        <w:rPr>
          <w:b/>
          <w:bCs/>
        </w:rPr>
        <w:t>D’HEBERGEMENT POUR</w:t>
      </w:r>
      <w:r w:rsidR="00F56306" w:rsidRPr="00621734">
        <w:rPr>
          <w:b/>
          <w:bCs/>
        </w:rPr>
        <w:t xml:space="preserve"> LES AGENTS EN MISSION</w:t>
      </w:r>
    </w:p>
    <w:p w14:paraId="59799F3D" w14:textId="472D9A45" w:rsidR="00CE2872" w:rsidRDefault="00CE2872" w:rsidP="00B51983">
      <w:pPr>
        <w:jc w:val="both"/>
      </w:pPr>
      <w:r>
        <w:t>L</w:t>
      </w:r>
      <w:r w:rsidRPr="00CE2872">
        <w:t xml:space="preserve">es frais de déplacement, de mission et d’hébergement des agents publics et des détenteurs de mandats électifs </w:t>
      </w:r>
      <w:r w:rsidR="00C265A0" w:rsidRPr="00CE2872">
        <w:t xml:space="preserve">locaux </w:t>
      </w:r>
      <w:r w:rsidR="00C265A0">
        <w:t>fixés</w:t>
      </w:r>
      <w:r w:rsidR="00773D35">
        <w:t xml:space="preserve"> précédemment en 2008(tarifs entre </w:t>
      </w:r>
      <w:r w:rsidR="00C265A0">
        <w:t>parenthèses) ont</w:t>
      </w:r>
      <w:r w:rsidRPr="00CE2872">
        <w:t xml:space="preserve"> été revalorisés au 1</w:t>
      </w:r>
      <w:r w:rsidRPr="00CE2872">
        <w:rPr>
          <w:vertAlign w:val="superscript"/>
        </w:rPr>
        <w:t>er</w:t>
      </w:r>
      <w:r w:rsidRPr="00CE2872">
        <w:t xml:space="preserve"> mars 2019 :</w:t>
      </w:r>
    </w:p>
    <w:tbl>
      <w:tblPr>
        <w:tblStyle w:val="Grilledutableau"/>
        <w:tblW w:w="0" w:type="auto"/>
        <w:tblLook w:val="04A0" w:firstRow="1" w:lastRow="0" w:firstColumn="1" w:lastColumn="0" w:noHBand="0" w:noVBand="1"/>
      </w:tblPr>
      <w:tblGrid>
        <w:gridCol w:w="2217"/>
        <w:gridCol w:w="2188"/>
        <w:gridCol w:w="2186"/>
        <w:gridCol w:w="2186"/>
      </w:tblGrid>
      <w:tr w:rsidR="00CE2872" w14:paraId="51089850" w14:textId="77777777" w:rsidTr="005D482F">
        <w:tc>
          <w:tcPr>
            <w:tcW w:w="9062" w:type="dxa"/>
            <w:gridSpan w:val="4"/>
          </w:tcPr>
          <w:p w14:paraId="1B02AF37" w14:textId="5794DE42" w:rsidR="00CE2872" w:rsidRPr="00CE2872" w:rsidRDefault="00CE2872" w:rsidP="00CE2872">
            <w:pPr>
              <w:jc w:val="center"/>
              <w:rPr>
                <w:b/>
                <w:bCs/>
              </w:rPr>
            </w:pPr>
            <w:r w:rsidRPr="00CE2872">
              <w:rPr>
                <w:b/>
                <w:bCs/>
              </w:rPr>
              <w:t>Indemnités kilométriques</w:t>
            </w:r>
          </w:p>
        </w:tc>
      </w:tr>
      <w:tr w:rsidR="00CE2872" w14:paraId="51E5DA88" w14:textId="77777777" w:rsidTr="00CE2872">
        <w:tc>
          <w:tcPr>
            <w:tcW w:w="2265" w:type="dxa"/>
          </w:tcPr>
          <w:p w14:paraId="51C80BE7" w14:textId="575B3DFB" w:rsidR="00CE2872" w:rsidRDefault="00CE2872" w:rsidP="00B51983">
            <w:pPr>
              <w:jc w:val="both"/>
            </w:pPr>
            <w:r>
              <w:lastRenderedPageBreak/>
              <w:t xml:space="preserve">Catégorie de véhicules </w:t>
            </w:r>
          </w:p>
        </w:tc>
        <w:tc>
          <w:tcPr>
            <w:tcW w:w="2265" w:type="dxa"/>
          </w:tcPr>
          <w:p w14:paraId="027D8AC4" w14:textId="0B02EA45" w:rsidR="00CE2872" w:rsidRDefault="00CE2872" w:rsidP="00B51983">
            <w:pPr>
              <w:jc w:val="both"/>
            </w:pPr>
            <w:r>
              <w:t>Jusqu’à 2 000 kms</w:t>
            </w:r>
          </w:p>
        </w:tc>
        <w:tc>
          <w:tcPr>
            <w:tcW w:w="2266" w:type="dxa"/>
          </w:tcPr>
          <w:p w14:paraId="25413F9F" w14:textId="16FE9F84" w:rsidR="00CE2872" w:rsidRDefault="00CE2872" w:rsidP="00B51983">
            <w:pPr>
              <w:jc w:val="both"/>
            </w:pPr>
            <w:r>
              <w:t>De 2001 à 10 000 kms</w:t>
            </w:r>
          </w:p>
        </w:tc>
        <w:tc>
          <w:tcPr>
            <w:tcW w:w="2266" w:type="dxa"/>
          </w:tcPr>
          <w:p w14:paraId="53327601" w14:textId="37E09F86" w:rsidR="00CE2872" w:rsidRDefault="00CE2872" w:rsidP="00B51983">
            <w:pPr>
              <w:jc w:val="both"/>
            </w:pPr>
            <w:r>
              <w:t>Après 10 000 kms</w:t>
            </w:r>
          </w:p>
        </w:tc>
      </w:tr>
      <w:tr w:rsidR="00CE2872" w14:paraId="5E1E0CE1" w14:textId="77777777" w:rsidTr="00CE2872">
        <w:tc>
          <w:tcPr>
            <w:tcW w:w="2265" w:type="dxa"/>
          </w:tcPr>
          <w:p w14:paraId="79FD68E5" w14:textId="14DE94C3" w:rsidR="00CE2872" w:rsidRDefault="00CE2872" w:rsidP="00B51983">
            <w:pPr>
              <w:jc w:val="both"/>
            </w:pPr>
            <w:r>
              <w:t>5 CV et moins</w:t>
            </w:r>
          </w:p>
        </w:tc>
        <w:tc>
          <w:tcPr>
            <w:tcW w:w="2265" w:type="dxa"/>
          </w:tcPr>
          <w:p w14:paraId="09AE2310" w14:textId="2019132D" w:rsidR="00CE2872" w:rsidRDefault="00CE2872" w:rsidP="00CE2872">
            <w:pPr>
              <w:jc w:val="right"/>
            </w:pPr>
            <w:r>
              <w:t>0.29</w:t>
            </w:r>
            <w:r w:rsidR="00773D35">
              <w:t xml:space="preserve"> (0.25)</w:t>
            </w:r>
          </w:p>
        </w:tc>
        <w:tc>
          <w:tcPr>
            <w:tcW w:w="2266" w:type="dxa"/>
          </w:tcPr>
          <w:p w14:paraId="7883D8AD" w14:textId="73E7BBD3" w:rsidR="00CE2872" w:rsidRDefault="00CE2872" w:rsidP="00CE2872">
            <w:pPr>
              <w:jc w:val="right"/>
            </w:pPr>
            <w:r>
              <w:t>0.36</w:t>
            </w:r>
            <w:r w:rsidR="00773D35">
              <w:t xml:space="preserve"> (0.31)</w:t>
            </w:r>
          </w:p>
        </w:tc>
        <w:tc>
          <w:tcPr>
            <w:tcW w:w="2266" w:type="dxa"/>
          </w:tcPr>
          <w:p w14:paraId="751C6A11" w14:textId="4B17ECA4" w:rsidR="00CE2872" w:rsidRDefault="00CE2872" w:rsidP="00CE2872">
            <w:pPr>
              <w:jc w:val="right"/>
            </w:pPr>
            <w:r>
              <w:t>0.21</w:t>
            </w:r>
            <w:r w:rsidR="00773D35">
              <w:t xml:space="preserve"> (0.18)</w:t>
            </w:r>
          </w:p>
        </w:tc>
      </w:tr>
      <w:tr w:rsidR="00CE2872" w14:paraId="5752FDEA" w14:textId="77777777" w:rsidTr="00CE2872">
        <w:tc>
          <w:tcPr>
            <w:tcW w:w="2265" w:type="dxa"/>
          </w:tcPr>
          <w:p w14:paraId="41E0F392" w14:textId="38DF43E1" w:rsidR="00CE2872" w:rsidRDefault="00CE2872" w:rsidP="00B51983">
            <w:pPr>
              <w:jc w:val="both"/>
            </w:pPr>
            <w:r>
              <w:t>6 et 7 cv</w:t>
            </w:r>
          </w:p>
        </w:tc>
        <w:tc>
          <w:tcPr>
            <w:tcW w:w="2265" w:type="dxa"/>
          </w:tcPr>
          <w:p w14:paraId="6DED0E17" w14:textId="43DA3B80" w:rsidR="00CE2872" w:rsidRDefault="00CE2872" w:rsidP="00CE2872">
            <w:pPr>
              <w:jc w:val="right"/>
            </w:pPr>
            <w:r>
              <w:t>0.37</w:t>
            </w:r>
            <w:r w:rsidR="00773D35">
              <w:t xml:space="preserve"> (0.32)</w:t>
            </w:r>
          </w:p>
        </w:tc>
        <w:tc>
          <w:tcPr>
            <w:tcW w:w="2266" w:type="dxa"/>
          </w:tcPr>
          <w:p w14:paraId="3A427155" w14:textId="313A72CF" w:rsidR="00CE2872" w:rsidRDefault="00CE2872" w:rsidP="00CE2872">
            <w:pPr>
              <w:jc w:val="right"/>
            </w:pPr>
            <w:r>
              <w:t>0.46</w:t>
            </w:r>
            <w:r w:rsidR="00773D35">
              <w:t xml:space="preserve"> (0.39)</w:t>
            </w:r>
          </w:p>
        </w:tc>
        <w:tc>
          <w:tcPr>
            <w:tcW w:w="2266" w:type="dxa"/>
          </w:tcPr>
          <w:p w14:paraId="22028FCA" w14:textId="6FDE1B07" w:rsidR="00CE2872" w:rsidRDefault="00CE2872" w:rsidP="00CE2872">
            <w:pPr>
              <w:jc w:val="right"/>
            </w:pPr>
            <w:r>
              <w:t>0.27</w:t>
            </w:r>
            <w:r w:rsidR="00773D35">
              <w:t xml:space="preserve"> (0.23)</w:t>
            </w:r>
          </w:p>
        </w:tc>
      </w:tr>
      <w:tr w:rsidR="00CE2872" w14:paraId="6E22DC20" w14:textId="77777777" w:rsidTr="00CE2872">
        <w:tc>
          <w:tcPr>
            <w:tcW w:w="2265" w:type="dxa"/>
          </w:tcPr>
          <w:p w14:paraId="25E3E96E" w14:textId="447A8B42" w:rsidR="00CE2872" w:rsidRDefault="00CE2872" w:rsidP="00B51983">
            <w:pPr>
              <w:jc w:val="both"/>
            </w:pPr>
            <w:r>
              <w:t>8 cv et plus</w:t>
            </w:r>
          </w:p>
        </w:tc>
        <w:tc>
          <w:tcPr>
            <w:tcW w:w="2265" w:type="dxa"/>
          </w:tcPr>
          <w:p w14:paraId="337ED842" w14:textId="78DCA606" w:rsidR="00CE2872" w:rsidRDefault="00CE2872" w:rsidP="00CE2872">
            <w:pPr>
              <w:jc w:val="right"/>
            </w:pPr>
            <w:r>
              <w:t>0.41</w:t>
            </w:r>
            <w:r w:rsidR="00773D35">
              <w:t xml:space="preserve"> (0.35)</w:t>
            </w:r>
          </w:p>
        </w:tc>
        <w:tc>
          <w:tcPr>
            <w:tcW w:w="2266" w:type="dxa"/>
          </w:tcPr>
          <w:p w14:paraId="243B37C4" w14:textId="36BFD860" w:rsidR="00CE2872" w:rsidRDefault="00CE2872" w:rsidP="00CE2872">
            <w:pPr>
              <w:jc w:val="right"/>
            </w:pPr>
            <w:r>
              <w:t>0.50</w:t>
            </w:r>
            <w:r w:rsidR="00773D35">
              <w:t xml:space="preserve"> (0.43)</w:t>
            </w:r>
          </w:p>
        </w:tc>
        <w:tc>
          <w:tcPr>
            <w:tcW w:w="2266" w:type="dxa"/>
          </w:tcPr>
          <w:p w14:paraId="0ED7213D" w14:textId="634CE978" w:rsidR="00CE2872" w:rsidRDefault="00CE2872" w:rsidP="00CE2872">
            <w:pPr>
              <w:jc w:val="right"/>
            </w:pPr>
            <w:r>
              <w:t>0.29</w:t>
            </w:r>
            <w:r w:rsidR="00773D35">
              <w:t xml:space="preserve"> (0.29)</w:t>
            </w:r>
          </w:p>
        </w:tc>
      </w:tr>
      <w:tr w:rsidR="00CE2872" w14:paraId="201D06B3" w14:textId="77777777" w:rsidTr="005D482F">
        <w:tc>
          <w:tcPr>
            <w:tcW w:w="2265" w:type="dxa"/>
          </w:tcPr>
          <w:p w14:paraId="4A63B5F4" w14:textId="659F7E04" w:rsidR="00CE2872" w:rsidRDefault="00CE2872" w:rsidP="00B51983">
            <w:pPr>
              <w:jc w:val="both"/>
            </w:pPr>
            <w:r>
              <w:t>Motocyclette supérieure à 125 cm3</w:t>
            </w:r>
          </w:p>
        </w:tc>
        <w:tc>
          <w:tcPr>
            <w:tcW w:w="6797" w:type="dxa"/>
            <w:gridSpan w:val="3"/>
          </w:tcPr>
          <w:p w14:paraId="2F92719B" w14:textId="18A5818E" w:rsidR="00CE2872" w:rsidRDefault="00CE2872" w:rsidP="00CE2872">
            <w:pPr>
              <w:jc w:val="right"/>
            </w:pPr>
            <w:r>
              <w:t>0.14</w:t>
            </w:r>
            <w:r w:rsidR="00773D35">
              <w:t xml:space="preserve"> (0.12)</w:t>
            </w:r>
          </w:p>
        </w:tc>
      </w:tr>
      <w:tr w:rsidR="00CE2872" w14:paraId="55802B15" w14:textId="77777777" w:rsidTr="005D482F">
        <w:tc>
          <w:tcPr>
            <w:tcW w:w="2265" w:type="dxa"/>
          </w:tcPr>
          <w:p w14:paraId="1496CE22" w14:textId="4CC5D11D" w:rsidR="00CE2872" w:rsidRDefault="00CE2872" w:rsidP="00B51983">
            <w:pPr>
              <w:jc w:val="both"/>
            </w:pPr>
            <w:r>
              <w:t>Vélomoteur et autres véhicules à moteur</w:t>
            </w:r>
          </w:p>
        </w:tc>
        <w:tc>
          <w:tcPr>
            <w:tcW w:w="6797" w:type="dxa"/>
            <w:gridSpan w:val="3"/>
          </w:tcPr>
          <w:p w14:paraId="3469AF8B" w14:textId="2067D9B6" w:rsidR="00CE2872" w:rsidRDefault="00CE2872" w:rsidP="00CE2872">
            <w:pPr>
              <w:jc w:val="right"/>
            </w:pPr>
            <w:r>
              <w:t>0.11</w:t>
            </w:r>
            <w:r w:rsidR="00773D35">
              <w:t xml:space="preserve"> (0.09)</w:t>
            </w:r>
          </w:p>
        </w:tc>
      </w:tr>
    </w:tbl>
    <w:p w14:paraId="739AB454" w14:textId="0C33B2F2" w:rsidR="00CE2872" w:rsidRDefault="00CE2872" w:rsidP="00B51983">
      <w:pPr>
        <w:jc w:val="both"/>
      </w:pPr>
    </w:p>
    <w:tbl>
      <w:tblPr>
        <w:tblStyle w:val="Grilledutableau"/>
        <w:tblW w:w="0" w:type="auto"/>
        <w:tblLook w:val="04A0" w:firstRow="1" w:lastRow="0" w:firstColumn="1" w:lastColumn="0" w:noHBand="0" w:noVBand="1"/>
      </w:tblPr>
      <w:tblGrid>
        <w:gridCol w:w="2204"/>
        <w:gridCol w:w="2198"/>
        <w:gridCol w:w="2192"/>
        <w:gridCol w:w="2183"/>
      </w:tblGrid>
      <w:tr w:rsidR="00CE2872" w14:paraId="4C7D0323" w14:textId="77777777" w:rsidTr="005D482F">
        <w:tc>
          <w:tcPr>
            <w:tcW w:w="9062" w:type="dxa"/>
            <w:gridSpan w:val="4"/>
          </w:tcPr>
          <w:p w14:paraId="06F3A7E7" w14:textId="04DC424D" w:rsidR="00CE2872" w:rsidRPr="00CE2872" w:rsidRDefault="00CE2872" w:rsidP="00CE2872">
            <w:pPr>
              <w:jc w:val="center"/>
              <w:rPr>
                <w:b/>
                <w:bCs/>
              </w:rPr>
            </w:pPr>
            <w:r w:rsidRPr="00CE2872">
              <w:rPr>
                <w:b/>
                <w:bCs/>
              </w:rPr>
              <w:t>Frais de repas et d’hébergement</w:t>
            </w:r>
          </w:p>
        </w:tc>
      </w:tr>
      <w:tr w:rsidR="00CE2872" w14:paraId="0A4BB9FC" w14:textId="77777777" w:rsidTr="00CE2872">
        <w:tc>
          <w:tcPr>
            <w:tcW w:w="2265" w:type="dxa"/>
          </w:tcPr>
          <w:p w14:paraId="72EE34B9" w14:textId="34957D15" w:rsidR="00CE2872" w:rsidRDefault="00CE2872" w:rsidP="00B51983">
            <w:pPr>
              <w:jc w:val="both"/>
            </w:pPr>
            <w:r>
              <w:t>Nature indemnité</w:t>
            </w:r>
          </w:p>
        </w:tc>
        <w:tc>
          <w:tcPr>
            <w:tcW w:w="2265" w:type="dxa"/>
          </w:tcPr>
          <w:p w14:paraId="37698356" w14:textId="773856EA" w:rsidR="00CE2872" w:rsidRDefault="00CE2872" w:rsidP="00B51983">
            <w:pPr>
              <w:jc w:val="both"/>
            </w:pPr>
            <w:r>
              <w:t>Taux de base</w:t>
            </w:r>
          </w:p>
        </w:tc>
        <w:tc>
          <w:tcPr>
            <w:tcW w:w="2266" w:type="dxa"/>
          </w:tcPr>
          <w:p w14:paraId="65E043E5" w14:textId="04AA0489" w:rsidR="00CE2872" w:rsidRDefault="00CE2872" w:rsidP="00B51983">
            <w:pPr>
              <w:jc w:val="both"/>
            </w:pPr>
            <w:r>
              <w:t xml:space="preserve">Grandes villes (population légale </w:t>
            </w:r>
            <w:r w:rsidR="00E12824">
              <w:t xml:space="preserve">égale ou supérieure à 200 000 </w:t>
            </w:r>
            <w:proofErr w:type="spellStart"/>
            <w:r w:rsidR="00E12824">
              <w:t>hts</w:t>
            </w:r>
            <w:proofErr w:type="spellEnd"/>
            <w:r w:rsidR="00E12824">
              <w:t>) et communes de la métropole du Grand Paris</w:t>
            </w:r>
          </w:p>
        </w:tc>
        <w:tc>
          <w:tcPr>
            <w:tcW w:w="2266" w:type="dxa"/>
          </w:tcPr>
          <w:p w14:paraId="6799973C" w14:textId="1B31307E" w:rsidR="00CE2872" w:rsidRDefault="00E12824" w:rsidP="00B51983">
            <w:pPr>
              <w:jc w:val="both"/>
            </w:pPr>
            <w:r>
              <w:t>Commune de Paris</w:t>
            </w:r>
          </w:p>
        </w:tc>
      </w:tr>
      <w:tr w:rsidR="00CE2872" w14:paraId="0195667C" w14:textId="77777777" w:rsidTr="00CE2872">
        <w:tc>
          <w:tcPr>
            <w:tcW w:w="2265" w:type="dxa"/>
          </w:tcPr>
          <w:p w14:paraId="162A9C37" w14:textId="2E3D828D" w:rsidR="00CE2872" w:rsidRDefault="00920F4D" w:rsidP="00B51983">
            <w:pPr>
              <w:jc w:val="both"/>
            </w:pPr>
            <w:r>
              <w:t>H</w:t>
            </w:r>
            <w:r w:rsidR="00E12824">
              <w:t>ébergement</w:t>
            </w:r>
          </w:p>
        </w:tc>
        <w:tc>
          <w:tcPr>
            <w:tcW w:w="2265" w:type="dxa"/>
          </w:tcPr>
          <w:p w14:paraId="7BB7AF23" w14:textId="4CD16DA4" w:rsidR="00CE2872" w:rsidRDefault="00E12824" w:rsidP="00E12824">
            <w:pPr>
              <w:jc w:val="right"/>
            </w:pPr>
            <w:r>
              <w:t>70.00</w:t>
            </w:r>
            <w:r w:rsidR="00773D35">
              <w:t xml:space="preserve"> (38.11)</w:t>
            </w:r>
          </w:p>
        </w:tc>
        <w:tc>
          <w:tcPr>
            <w:tcW w:w="2266" w:type="dxa"/>
          </w:tcPr>
          <w:p w14:paraId="50C6C4A7" w14:textId="0251DFF5" w:rsidR="00CE2872" w:rsidRDefault="00E12824" w:rsidP="00E12824">
            <w:pPr>
              <w:jc w:val="right"/>
            </w:pPr>
            <w:r>
              <w:t>90.00</w:t>
            </w:r>
            <w:r w:rsidR="00773D35">
              <w:t xml:space="preserve"> (38.11)</w:t>
            </w:r>
          </w:p>
        </w:tc>
        <w:tc>
          <w:tcPr>
            <w:tcW w:w="2266" w:type="dxa"/>
          </w:tcPr>
          <w:p w14:paraId="74732D15" w14:textId="66A0309E" w:rsidR="00CE2872" w:rsidRDefault="00E12824" w:rsidP="00E12824">
            <w:pPr>
              <w:jc w:val="right"/>
            </w:pPr>
            <w:r>
              <w:t>110.00</w:t>
            </w:r>
            <w:r w:rsidR="00773D35">
              <w:t xml:space="preserve"> (53.36)</w:t>
            </w:r>
          </w:p>
        </w:tc>
      </w:tr>
      <w:tr w:rsidR="00CE2872" w14:paraId="7330D39C" w14:textId="77777777" w:rsidTr="00CE2872">
        <w:tc>
          <w:tcPr>
            <w:tcW w:w="2265" w:type="dxa"/>
          </w:tcPr>
          <w:p w14:paraId="5B894D3B" w14:textId="34DAB069" w:rsidR="00CE2872" w:rsidRDefault="00920F4D" w:rsidP="00B51983">
            <w:pPr>
              <w:jc w:val="both"/>
            </w:pPr>
            <w:r>
              <w:t>D</w:t>
            </w:r>
            <w:r w:rsidR="00E12824">
              <w:t>éjeuner</w:t>
            </w:r>
          </w:p>
        </w:tc>
        <w:tc>
          <w:tcPr>
            <w:tcW w:w="2265" w:type="dxa"/>
          </w:tcPr>
          <w:p w14:paraId="3D64B464" w14:textId="1AD2041C" w:rsidR="00CE2872" w:rsidRDefault="00E12824" w:rsidP="00E12824">
            <w:pPr>
              <w:jc w:val="right"/>
            </w:pPr>
            <w:r>
              <w:t>15.25</w:t>
            </w:r>
            <w:r w:rsidR="00773D35">
              <w:t xml:space="preserve"> (13.72)</w:t>
            </w:r>
          </w:p>
        </w:tc>
        <w:tc>
          <w:tcPr>
            <w:tcW w:w="2266" w:type="dxa"/>
          </w:tcPr>
          <w:p w14:paraId="5B692B1B" w14:textId="10BFD169" w:rsidR="00CE2872" w:rsidRDefault="00E12824" w:rsidP="00E12824">
            <w:pPr>
              <w:jc w:val="right"/>
            </w:pPr>
            <w:r>
              <w:t>15.25</w:t>
            </w:r>
            <w:r w:rsidR="00773D35">
              <w:t xml:space="preserve"> (13.72)</w:t>
            </w:r>
          </w:p>
        </w:tc>
        <w:tc>
          <w:tcPr>
            <w:tcW w:w="2266" w:type="dxa"/>
          </w:tcPr>
          <w:p w14:paraId="6CA78F49" w14:textId="11AA26D7" w:rsidR="00CE2872" w:rsidRDefault="00E12824" w:rsidP="00E12824">
            <w:pPr>
              <w:jc w:val="right"/>
            </w:pPr>
            <w:r>
              <w:t>15.25</w:t>
            </w:r>
            <w:r w:rsidR="00773D35">
              <w:t xml:space="preserve"> (13.72)</w:t>
            </w:r>
          </w:p>
        </w:tc>
      </w:tr>
      <w:tr w:rsidR="00CE2872" w14:paraId="5F02C297" w14:textId="77777777" w:rsidTr="00CE2872">
        <w:tc>
          <w:tcPr>
            <w:tcW w:w="2265" w:type="dxa"/>
          </w:tcPr>
          <w:p w14:paraId="3332FDAF" w14:textId="758ACF66" w:rsidR="00CE2872" w:rsidRDefault="00920F4D" w:rsidP="00B51983">
            <w:pPr>
              <w:jc w:val="both"/>
            </w:pPr>
            <w:r>
              <w:t>D</w:t>
            </w:r>
            <w:r w:rsidR="00E12824">
              <w:t>îner</w:t>
            </w:r>
          </w:p>
        </w:tc>
        <w:tc>
          <w:tcPr>
            <w:tcW w:w="2265" w:type="dxa"/>
          </w:tcPr>
          <w:p w14:paraId="463AFFB6" w14:textId="72E88BFF" w:rsidR="00CE2872" w:rsidRDefault="00E12824" w:rsidP="00E12824">
            <w:pPr>
              <w:jc w:val="right"/>
            </w:pPr>
            <w:r>
              <w:t>15.25</w:t>
            </w:r>
            <w:r w:rsidR="00773D35">
              <w:t>(13.72)</w:t>
            </w:r>
          </w:p>
        </w:tc>
        <w:tc>
          <w:tcPr>
            <w:tcW w:w="2266" w:type="dxa"/>
          </w:tcPr>
          <w:p w14:paraId="6070BA7D" w14:textId="233693A9" w:rsidR="00CE2872" w:rsidRDefault="00E12824" w:rsidP="00E12824">
            <w:pPr>
              <w:jc w:val="right"/>
            </w:pPr>
            <w:r>
              <w:t>15.25</w:t>
            </w:r>
            <w:r w:rsidR="00773D35">
              <w:t xml:space="preserve"> (13.72)</w:t>
            </w:r>
          </w:p>
        </w:tc>
        <w:tc>
          <w:tcPr>
            <w:tcW w:w="2266" w:type="dxa"/>
          </w:tcPr>
          <w:p w14:paraId="5FAF314A" w14:textId="7600EF12" w:rsidR="00CE2872" w:rsidRDefault="00E12824" w:rsidP="00E12824">
            <w:pPr>
              <w:jc w:val="right"/>
            </w:pPr>
            <w:r>
              <w:t>15.25</w:t>
            </w:r>
            <w:r w:rsidR="00773D35">
              <w:t xml:space="preserve"> (13.72)</w:t>
            </w:r>
          </w:p>
        </w:tc>
      </w:tr>
    </w:tbl>
    <w:p w14:paraId="36649999" w14:textId="6D1CCCC0" w:rsidR="00CE2872" w:rsidRDefault="00CE2872" w:rsidP="00B51983">
      <w:pPr>
        <w:jc w:val="both"/>
      </w:pPr>
    </w:p>
    <w:p w14:paraId="612E5F7F" w14:textId="2E6824DC" w:rsidR="00E12824" w:rsidRDefault="00E12824" w:rsidP="00B51983">
      <w:pPr>
        <w:jc w:val="both"/>
      </w:pPr>
      <w:r>
        <w:t>La revalorisation de ces taux nécessite une délibération. Monsieur le Maire demande donc au conseil municipal d’approuver cette nouvelle tarification.</w:t>
      </w:r>
    </w:p>
    <w:p w14:paraId="6DA744DB" w14:textId="11764493" w:rsidR="00E12824" w:rsidRDefault="00920F4D" w:rsidP="00E12824">
      <w:pPr>
        <w:pBdr>
          <w:top w:val="single" w:sz="4" w:space="1" w:color="auto"/>
          <w:left w:val="single" w:sz="4" w:space="4" w:color="auto"/>
          <w:bottom w:val="single" w:sz="4" w:space="1" w:color="auto"/>
          <w:right w:val="single" w:sz="4" w:space="4" w:color="auto"/>
        </w:pBdr>
        <w:jc w:val="both"/>
      </w:pPr>
      <w:r>
        <w:t>P</w:t>
      </w:r>
      <w:r w:rsidR="00E12824">
        <w:t xml:space="preserve">our : </w:t>
      </w:r>
      <w:r w:rsidR="00D407F8">
        <w:t>16</w:t>
      </w:r>
    </w:p>
    <w:p w14:paraId="42A2712F" w14:textId="01317DA5" w:rsidR="00E12824" w:rsidRDefault="00920F4D" w:rsidP="00E12824">
      <w:pPr>
        <w:pBdr>
          <w:top w:val="single" w:sz="4" w:space="1" w:color="auto"/>
          <w:left w:val="single" w:sz="4" w:space="4" w:color="auto"/>
          <w:bottom w:val="single" w:sz="4" w:space="1" w:color="auto"/>
          <w:right w:val="single" w:sz="4" w:space="4" w:color="auto"/>
        </w:pBdr>
        <w:jc w:val="both"/>
      </w:pPr>
      <w:r>
        <w:t>C</w:t>
      </w:r>
      <w:r w:rsidR="00E12824">
        <w:t xml:space="preserve">ontre : </w:t>
      </w:r>
      <w:r w:rsidR="00D407F8">
        <w:t>0</w:t>
      </w:r>
    </w:p>
    <w:p w14:paraId="4B20D870" w14:textId="62ADC5EE" w:rsidR="00E12824" w:rsidRPr="00CE2872" w:rsidRDefault="00920F4D" w:rsidP="00E12824">
      <w:pPr>
        <w:pBdr>
          <w:top w:val="single" w:sz="4" w:space="1" w:color="auto"/>
          <w:left w:val="single" w:sz="4" w:space="4" w:color="auto"/>
          <w:bottom w:val="single" w:sz="4" w:space="1" w:color="auto"/>
          <w:right w:val="single" w:sz="4" w:space="4" w:color="auto"/>
        </w:pBdr>
        <w:jc w:val="both"/>
      </w:pPr>
      <w:r>
        <w:t>A</w:t>
      </w:r>
      <w:r w:rsidR="00E12824">
        <w:t xml:space="preserve">bstention : </w:t>
      </w:r>
      <w:r w:rsidR="00D407F8">
        <w:t>0</w:t>
      </w:r>
    </w:p>
    <w:p w14:paraId="42B12137" w14:textId="145C2EAF" w:rsidR="00760590" w:rsidRDefault="00760590" w:rsidP="00B51983">
      <w:pPr>
        <w:jc w:val="both"/>
        <w:rPr>
          <w:b/>
          <w:bCs/>
        </w:rPr>
      </w:pPr>
      <w:r w:rsidRPr="005D482F">
        <w:rPr>
          <w:b/>
          <w:bCs/>
        </w:rPr>
        <w:t>MODIFICATION DE LA CONVENTION « ACTES » SIGNEE AVEC LA PREFECTURE</w:t>
      </w:r>
    </w:p>
    <w:p w14:paraId="2F77B5A2" w14:textId="1FD84381" w:rsidR="005D482F" w:rsidRPr="00842A16" w:rsidRDefault="005D482F" w:rsidP="00B51983">
      <w:pPr>
        <w:jc w:val="both"/>
      </w:pPr>
      <w:r w:rsidRPr="00842A16">
        <w:t>Par convention du 6 février 2012</w:t>
      </w:r>
      <w:r w:rsidR="001F7811" w:rsidRPr="00842A16">
        <w:t>, la commune transmet par voie électronique des actes règlementaires soumis au contrôle de légalité</w:t>
      </w:r>
      <w:r w:rsidR="00842A16" w:rsidRPr="00842A16">
        <w:t>, à l’exception des actes d’urbanisme, de la commande publique et budgétaire.</w:t>
      </w:r>
    </w:p>
    <w:p w14:paraId="4F14E7BD" w14:textId="53BBBB1E" w:rsidR="00842A16" w:rsidRPr="00842A16" w:rsidRDefault="00842A16" w:rsidP="00B51983">
      <w:pPr>
        <w:jc w:val="both"/>
      </w:pPr>
      <w:r w:rsidRPr="00842A16">
        <w:t>ACTES a évolué et permet maintenant de transmettre l’intégralité des actes soumis au contrôle de légalité.</w:t>
      </w:r>
    </w:p>
    <w:p w14:paraId="64063D2C" w14:textId="0DED76F1" w:rsidR="00842A16" w:rsidRPr="00842A16" w:rsidRDefault="00842A16" w:rsidP="00B51983">
      <w:pPr>
        <w:jc w:val="both"/>
      </w:pPr>
      <w:r w:rsidRPr="00842A16">
        <w:t xml:space="preserve">Afin de pouvoir transmettre ces actes relatifs au budget, à la commande publique et à l’urbanisme par voie électronique, le conseil municipal peut délibérer </w:t>
      </w:r>
      <w:r w:rsidR="00E03179">
        <w:t>e</w:t>
      </w:r>
      <w:r w:rsidRPr="00842A16">
        <w:t>t autoriser le Maire à signer un avenant qui sera alors établi par les services de la Préfecture.</w:t>
      </w:r>
    </w:p>
    <w:p w14:paraId="59D838BF" w14:textId="42AE52A2" w:rsidR="00842A16" w:rsidRPr="00842A16" w:rsidRDefault="00842A16" w:rsidP="00B51983">
      <w:pPr>
        <w:jc w:val="both"/>
      </w:pPr>
      <w:r w:rsidRPr="00842A16">
        <w:t xml:space="preserve">Monsieur le Maire demande au conseil municipal de </w:t>
      </w:r>
      <w:r w:rsidR="0068753E">
        <w:t>différer la signature d’</w:t>
      </w:r>
      <w:r w:rsidRPr="00842A16">
        <w:t>un tel avenant.</w:t>
      </w:r>
    </w:p>
    <w:p w14:paraId="4194C0C9" w14:textId="73F0F167" w:rsidR="00842A16" w:rsidRPr="005D482F" w:rsidRDefault="00920F4D" w:rsidP="00842A16">
      <w:pPr>
        <w:pBdr>
          <w:top w:val="single" w:sz="4" w:space="1" w:color="auto"/>
          <w:left w:val="single" w:sz="4" w:space="4" w:color="auto"/>
          <w:bottom w:val="single" w:sz="4" w:space="1" w:color="auto"/>
          <w:right w:val="single" w:sz="4" w:space="4" w:color="auto"/>
        </w:pBdr>
        <w:jc w:val="both"/>
      </w:pPr>
      <w:r>
        <w:t>P</w:t>
      </w:r>
      <w:r w:rsidR="00842A16" w:rsidRPr="005D482F">
        <w:t xml:space="preserve">our : </w:t>
      </w:r>
      <w:r w:rsidR="00D407F8">
        <w:t>16</w:t>
      </w:r>
    </w:p>
    <w:p w14:paraId="02B4B531" w14:textId="7D69E34B" w:rsidR="00842A16" w:rsidRPr="005D482F" w:rsidRDefault="00920F4D" w:rsidP="00842A16">
      <w:pPr>
        <w:pBdr>
          <w:top w:val="single" w:sz="4" w:space="1" w:color="auto"/>
          <w:left w:val="single" w:sz="4" w:space="4" w:color="auto"/>
          <w:bottom w:val="single" w:sz="4" w:space="1" w:color="auto"/>
          <w:right w:val="single" w:sz="4" w:space="4" w:color="auto"/>
        </w:pBdr>
        <w:jc w:val="both"/>
      </w:pPr>
      <w:r>
        <w:t>C</w:t>
      </w:r>
      <w:r w:rsidR="00842A16" w:rsidRPr="005D482F">
        <w:t xml:space="preserve">ontre : </w:t>
      </w:r>
      <w:r w:rsidR="00D407F8">
        <w:t>0</w:t>
      </w:r>
    </w:p>
    <w:p w14:paraId="649DCA06" w14:textId="62419D38" w:rsidR="005D482F" w:rsidRPr="00692E0C" w:rsidRDefault="00920F4D" w:rsidP="00692E0C">
      <w:pPr>
        <w:pBdr>
          <w:top w:val="single" w:sz="4" w:space="1" w:color="auto"/>
          <w:left w:val="single" w:sz="4" w:space="4" w:color="auto"/>
          <w:bottom w:val="single" w:sz="4" w:space="1" w:color="auto"/>
          <w:right w:val="single" w:sz="4" w:space="4" w:color="auto"/>
        </w:pBdr>
        <w:jc w:val="both"/>
      </w:pPr>
      <w:r>
        <w:t>A</w:t>
      </w:r>
      <w:r w:rsidR="00842A16" w:rsidRPr="005D482F">
        <w:t xml:space="preserve">bstention : </w:t>
      </w:r>
      <w:r w:rsidR="00D407F8">
        <w:t>0</w:t>
      </w:r>
    </w:p>
    <w:p w14:paraId="6B1B34C1" w14:textId="7EDDD8F7" w:rsidR="00760590" w:rsidRPr="004000DC" w:rsidRDefault="005B7FB9" w:rsidP="00B51983">
      <w:pPr>
        <w:jc w:val="both"/>
        <w:rPr>
          <w:b/>
          <w:bCs/>
        </w:rPr>
      </w:pPr>
      <w:r w:rsidRPr="004000DC">
        <w:rPr>
          <w:b/>
          <w:bCs/>
        </w:rPr>
        <w:t>SIGNATURE DU RENOUVELLEMENT DES CONVENTIONS DE PARTENARIAT « SIGIL »</w:t>
      </w:r>
    </w:p>
    <w:p w14:paraId="63E27787" w14:textId="32A9C0FE" w:rsidR="00E65563" w:rsidRDefault="00EE701B" w:rsidP="00B51983">
      <w:pPr>
        <w:jc w:val="both"/>
        <w:rPr>
          <w:i/>
          <w:iCs/>
        </w:rPr>
      </w:pPr>
      <w:r w:rsidRPr="00EE701B">
        <w:rPr>
          <w:i/>
          <w:iCs/>
        </w:rPr>
        <w:t>P</w:t>
      </w:r>
      <w:r w:rsidR="00773D35" w:rsidRPr="00EE701B">
        <w:rPr>
          <w:i/>
          <w:iCs/>
        </w:rPr>
        <w:t>oint supprimé déjà traité en Mai 2019</w:t>
      </w:r>
    </w:p>
    <w:p w14:paraId="355DB19B" w14:textId="77777777" w:rsidR="00692E0C" w:rsidRPr="00EE701B" w:rsidRDefault="00692E0C" w:rsidP="00B51983">
      <w:pPr>
        <w:jc w:val="both"/>
        <w:rPr>
          <w:b/>
          <w:bCs/>
          <w:i/>
          <w:iCs/>
        </w:rPr>
      </w:pPr>
    </w:p>
    <w:p w14:paraId="1E1A85EA" w14:textId="77777777" w:rsidR="006F34F2" w:rsidRDefault="006F34F2" w:rsidP="00B51983">
      <w:pPr>
        <w:jc w:val="both"/>
        <w:rPr>
          <w:b/>
          <w:bCs/>
        </w:rPr>
      </w:pPr>
    </w:p>
    <w:p w14:paraId="4C5BA325" w14:textId="73DA707E" w:rsidR="00E65563" w:rsidRDefault="00E65563" w:rsidP="00B51983">
      <w:pPr>
        <w:jc w:val="both"/>
        <w:rPr>
          <w:b/>
          <w:bCs/>
        </w:rPr>
      </w:pPr>
      <w:r>
        <w:rPr>
          <w:b/>
          <w:bCs/>
        </w:rPr>
        <w:lastRenderedPageBreak/>
        <w:t>AVENANTS REHABILITATION DE LA SALLE POLYVALENTE</w:t>
      </w:r>
    </w:p>
    <w:p w14:paraId="4583469F" w14:textId="6D10A57E" w:rsidR="00E65563" w:rsidRPr="00692E0C" w:rsidRDefault="00E65563" w:rsidP="00B51983">
      <w:pPr>
        <w:jc w:val="both"/>
      </w:pPr>
      <w:r w:rsidRPr="00B240FD">
        <w:t>Monsieur le Maire demande au conseil municipal de bien vouloir se prononcer sur les propositions d’avenants concernant la réhabilitation de la salle polyvalente :</w:t>
      </w:r>
    </w:p>
    <w:tbl>
      <w:tblPr>
        <w:tblStyle w:val="Grilledutableau"/>
        <w:tblW w:w="0" w:type="auto"/>
        <w:tblLook w:val="04A0" w:firstRow="1" w:lastRow="0" w:firstColumn="1" w:lastColumn="0" w:noHBand="0" w:noVBand="1"/>
      </w:tblPr>
      <w:tblGrid>
        <w:gridCol w:w="1766"/>
        <w:gridCol w:w="1751"/>
        <w:gridCol w:w="1759"/>
        <w:gridCol w:w="1749"/>
        <w:gridCol w:w="1752"/>
      </w:tblGrid>
      <w:tr w:rsidR="00E65563" w14:paraId="747C4BEA" w14:textId="77777777" w:rsidTr="00E65563">
        <w:tc>
          <w:tcPr>
            <w:tcW w:w="1812" w:type="dxa"/>
          </w:tcPr>
          <w:p w14:paraId="6765095B" w14:textId="7DECBC91" w:rsidR="00E65563" w:rsidRDefault="00E65563" w:rsidP="00B51983">
            <w:pPr>
              <w:jc w:val="both"/>
              <w:rPr>
                <w:b/>
                <w:bCs/>
              </w:rPr>
            </w:pPr>
            <w:r>
              <w:rPr>
                <w:b/>
                <w:bCs/>
              </w:rPr>
              <w:t>Lot - entreprise</w:t>
            </w:r>
          </w:p>
        </w:tc>
        <w:tc>
          <w:tcPr>
            <w:tcW w:w="1812" w:type="dxa"/>
          </w:tcPr>
          <w:p w14:paraId="2A24E44B" w14:textId="5439FCC5" w:rsidR="00E65563" w:rsidRDefault="00E65563" w:rsidP="00B51983">
            <w:pPr>
              <w:jc w:val="both"/>
              <w:rPr>
                <w:b/>
                <w:bCs/>
              </w:rPr>
            </w:pPr>
            <w:r>
              <w:rPr>
                <w:b/>
                <w:bCs/>
              </w:rPr>
              <w:t>Montant HT du marché initial</w:t>
            </w:r>
          </w:p>
        </w:tc>
        <w:tc>
          <w:tcPr>
            <w:tcW w:w="1812" w:type="dxa"/>
          </w:tcPr>
          <w:p w14:paraId="6456CADD" w14:textId="0FCC49E5" w:rsidR="00E65563" w:rsidRDefault="00E65563" w:rsidP="00B51983">
            <w:pPr>
              <w:jc w:val="both"/>
              <w:rPr>
                <w:b/>
                <w:bCs/>
              </w:rPr>
            </w:pPr>
            <w:r>
              <w:rPr>
                <w:b/>
                <w:bCs/>
              </w:rPr>
              <w:t>Objet de l’avenant</w:t>
            </w:r>
          </w:p>
        </w:tc>
        <w:tc>
          <w:tcPr>
            <w:tcW w:w="1813" w:type="dxa"/>
          </w:tcPr>
          <w:p w14:paraId="70B17446" w14:textId="56432155" w:rsidR="00E65563" w:rsidRDefault="00E65563" w:rsidP="00B51983">
            <w:pPr>
              <w:jc w:val="both"/>
              <w:rPr>
                <w:b/>
                <w:bCs/>
              </w:rPr>
            </w:pPr>
            <w:r>
              <w:rPr>
                <w:b/>
                <w:bCs/>
              </w:rPr>
              <w:t>Montant de l’avenant HT</w:t>
            </w:r>
          </w:p>
        </w:tc>
        <w:tc>
          <w:tcPr>
            <w:tcW w:w="1813" w:type="dxa"/>
          </w:tcPr>
          <w:p w14:paraId="62C68229" w14:textId="0663F0E0" w:rsidR="00E65563" w:rsidRDefault="00E65563" w:rsidP="00B51983">
            <w:pPr>
              <w:jc w:val="both"/>
              <w:rPr>
                <w:b/>
                <w:bCs/>
              </w:rPr>
            </w:pPr>
            <w:r>
              <w:rPr>
                <w:b/>
                <w:bCs/>
              </w:rPr>
              <w:t>Nouveau montant du marché</w:t>
            </w:r>
            <w:r w:rsidR="00B240FD">
              <w:rPr>
                <w:b/>
                <w:bCs/>
              </w:rPr>
              <w:t xml:space="preserve"> HT</w:t>
            </w:r>
          </w:p>
        </w:tc>
      </w:tr>
      <w:tr w:rsidR="00E65563" w14:paraId="65BB28E2" w14:textId="77777777" w:rsidTr="00E65563">
        <w:tc>
          <w:tcPr>
            <w:tcW w:w="1812" w:type="dxa"/>
          </w:tcPr>
          <w:p w14:paraId="10336CA0" w14:textId="77777777" w:rsidR="00E65563" w:rsidRPr="00B240FD" w:rsidRDefault="00E65563" w:rsidP="00B51983">
            <w:pPr>
              <w:jc w:val="both"/>
            </w:pPr>
            <w:r w:rsidRPr="00B240FD">
              <w:t xml:space="preserve">Lot 5 – menuiserie extérieure aluminium </w:t>
            </w:r>
          </w:p>
          <w:p w14:paraId="5F7934DC" w14:textId="1E2859C4" w:rsidR="00E65563" w:rsidRPr="00B240FD" w:rsidRDefault="00E65563" w:rsidP="00B51983">
            <w:pPr>
              <w:jc w:val="both"/>
            </w:pPr>
            <w:r w:rsidRPr="00B240FD">
              <w:t xml:space="preserve">HERVO ALU </w:t>
            </w:r>
          </w:p>
        </w:tc>
        <w:tc>
          <w:tcPr>
            <w:tcW w:w="1812" w:type="dxa"/>
          </w:tcPr>
          <w:p w14:paraId="47EDC8A5" w14:textId="2363B817" w:rsidR="00E65563" w:rsidRPr="00B240FD" w:rsidRDefault="00E65563" w:rsidP="00B51983">
            <w:pPr>
              <w:jc w:val="both"/>
            </w:pPr>
            <w:r w:rsidRPr="00B240FD">
              <w:t>51 806.30</w:t>
            </w:r>
          </w:p>
        </w:tc>
        <w:tc>
          <w:tcPr>
            <w:tcW w:w="1812" w:type="dxa"/>
          </w:tcPr>
          <w:p w14:paraId="08372AED" w14:textId="2912722E" w:rsidR="00E65563" w:rsidRPr="00B240FD" w:rsidRDefault="00B240FD" w:rsidP="00B51983">
            <w:pPr>
              <w:jc w:val="both"/>
            </w:pPr>
            <w:r w:rsidRPr="00B240FD">
              <w:t xml:space="preserve">Fourniture de stores occultants </w:t>
            </w:r>
          </w:p>
        </w:tc>
        <w:tc>
          <w:tcPr>
            <w:tcW w:w="1813" w:type="dxa"/>
          </w:tcPr>
          <w:p w14:paraId="4776766D" w14:textId="49E69C87" w:rsidR="00E65563" w:rsidRPr="00B240FD" w:rsidRDefault="00E65563" w:rsidP="00B51983">
            <w:pPr>
              <w:jc w:val="both"/>
            </w:pPr>
            <w:r w:rsidRPr="00B240FD">
              <w:t>902.00</w:t>
            </w:r>
          </w:p>
        </w:tc>
        <w:tc>
          <w:tcPr>
            <w:tcW w:w="1813" w:type="dxa"/>
          </w:tcPr>
          <w:p w14:paraId="26AA1382" w14:textId="0FF6DC2B" w:rsidR="00E65563" w:rsidRPr="00B240FD" w:rsidRDefault="00E65563" w:rsidP="00B51983">
            <w:pPr>
              <w:jc w:val="both"/>
            </w:pPr>
            <w:r w:rsidRPr="00B240FD">
              <w:t xml:space="preserve">52 808.30 </w:t>
            </w:r>
          </w:p>
        </w:tc>
      </w:tr>
      <w:tr w:rsidR="00E65563" w14:paraId="67FE8E5D" w14:textId="77777777" w:rsidTr="00E65563">
        <w:tc>
          <w:tcPr>
            <w:tcW w:w="1812" w:type="dxa"/>
          </w:tcPr>
          <w:p w14:paraId="2B242DDD" w14:textId="751B2B75" w:rsidR="00E65563" w:rsidRPr="00B240FD" w:rsidRDefault="00B240FD" w:rsidP="00B51983">
            <w:pPr>
              <w:jc w:val="both"/>
            </w:pPr>
            <w:r w:rsidRPr="00B240FD">
              <w:t>Lot 9 – peinture</w:t>
            </w:r>
          </w:p>
          <w:p w14:paraId="581C4AF4" w14:textId="663C2152" w:rsidR="00B240FD" w:rsidRPr="00B240FD" w:rsidRDefault="00B240FD" w:rsidP="00B51983">
            <w:pPr>
              <w:jc w:val="both"/>
            </w:pPr>
            <w:r w:rsidRPr="00B240FD">
              <w:t xml:space="preserve">RAFFENEAU </w:t>
            </w:r>
          </w:p>
        </w:tc>
        <w:tc>
          <w:tcPr>
            <w:tcW w:w="1812" w:type="dxa"/>
          </w:tcPr>
          <w:p w14:paraId="50745F36" w14:textId="4BFCB323" w:rsidR="00E65563" w:rsidRPr="00B240FD" w:rsidRDefault="00B240FD" w:rsidP="00B51983">
            <w:pPr>
              <w:jc w:val="both"/>
            </w:pPr>
            <w:r w:rsidRPr="00B240FD">
              <w:t>27 903.96</w:t>
            </w:r>
          </w:p>
        </w:tc>
        <w:tc>
          <w:tcPr>
            <w:tcW w:w="1812" w:type="dxa"/>
          </w:tcPr>
          <w:p w14:paraId="1B757C07" w14:textId="1D117517" w:rsidR="00E65563" w:rsidRPr="00B240FD" w:rsidRDefault="00B240FD" w:rsidP="00B51983">
            <w:pPr>
              <w:jc w:val="both"/>
            </w:pPr>
            <w:r w:rsidRPr="00B240FD">
              <w:t>Pose de toile de verre sur l’ensemble des supports</w:t>
            </w:r>
            <w:r w:rsidR="00AB4E19">
              <w:t xml:space="preserve"> du hall d’entrée</w:t>
            </w:r>
          </w:p>
        </w:tc>
        <w:tc>
          <w:tcPr>
            <w:tcW w:w="1813" w:type="dxa"/>
          </w:tcPr>
          <w:p w14:paraId="0523D11E" w14:textId="11BD4CAE" w:rsidR="00E65563" w:rsidRPr="00B240FD" w:rsidRDefault="00B240FD" w:rsidP="00B51983">
            <w:pPr>
              <w:jc w:val="both"/>
            </w:pPr>
            <w:r w:rsidRPr="00B240FD">
              <w:t>3 527.16</w:t>
            </w:r>
          </w:p>
        </w:tc>
        <w:tc>
          <w:tcPr>
            <w:tcW w:w="1813" w:type="dxa"/>
          </w:tcPr>
          <w:p w14:paraId="4A1A24B2" w14:textId="4FD9AD3C" w:rsidR="00E65563" w:rsidRPr="00B240FD" w:rsidRDefault="00B240FD" w:rsidP="00B51983">
            <w:pPr>
              <w:jc w:val="both"/>
            </w:pPr>
            <w:r w:rsidRPr="00B240FD">
              <w:t>31 431.12</w:t>
            </w:r>
          </w:p>
        </w:tc>
      </w:tr>
      <w:tr w:rsidR="00E65563" w14:paraId="3BA929C1" w14:textId="77777777" w:rsidTr="00E65563">
        <w:tc>
          <w:tcPr>
            <w:tcW w:w="1812" w:type="dxa"/>
          </w:tcPr>
          <w:p w14:paraId="4855E65B" w14:textId="77777777" w:rsidR="00E65563" w:rsidRPr="00B240FD" w:rsidRDefault="00B240FD" w:rsidP="00B51983">
            <w:pPr>
              <w:jc w:val="both"/>
            </w:pPr>
            <w:r w:rsidRPr="00B240FD">
              <w:t xml:space="preserve">Lot 10 – ventilation plomberie </w:t>
            </w:r>
          </w:p>
          <w:p w14:paraId="2BA86D7D" w14:textId="18AE35ED" w:rsidR="00B240FD" w:rsidRPr="00B240FD" w:rsidRDefault="00B240FD" w:rsidP="00B51983">
            <w:pPr>
              <w:jc w:val="both"/>
            </w:pPr>
            <w:r w:rsidRPr="00B240FD">
              <w:t>MISSENARD</w:t>
            </w:r>
          </w:p>
        </w:tc>
        <w:tc>
          <w:tcPr>
            <w:tcW w:w="1812" w:type="dxa"/>
          </w:tcPr>
          <w:p w14:paraId="777D16DE" w14:textId="3C35B22A" w:rsidR="00E65563" w:rsidRPr="00B240FD" w:rsidRDefault="00B240FD" w:rsidP="00B51983">
            <w:pPr>
              <w:jc w:val="both"/>
            </w:pPr>
            <w:r w:rsidRPr="00B240FD">
              <w:t>48 011.54</w:t>
            </w:r>
          </w:p>
        </w:tc>
        <w:tc>
          <w:tcPr>
            <w:tcW w:w="1812" w:type="dxa"/>
          </w:tcPr>
          <w:p w14:paraId="14E34746" w14:textId="1B2F4E32" w:rsidR="00E65563" w:rsidRPr="00B240FD" w:rsidRDefault="00B240FD" w:rsidP="00B51983">
            <w:pPr>
              <w:jc w:val="both"/>
            </w:pPr>
            <w:r w:rsidRPr="00B240FD">
              <w:t xml:space="preserve">Extracteur mural </w:t>
            </w:r>
            <w:r w:rsidR="00D407F8">
              <w:t xml:space="preserve">près du bar </w:t>
            </w:r>
            <w:r w:rsidRPr="00B240FD">
              <w:t>pour ventilation office</w:t>
            </w:r>
          </w:p>
        </w:tc>
        <w:tc>
          <w:tcPr>
            <w:tcW w:w="1813" w:type="dxa"/>
          </w:tcPr>
          <w:p w14:paraId="6E320F62" w14:textId="287CBA2F" w:rsidR="00E65563" w:rsidRPr="00B240FD" w:rsidRDefault="00B240FD" w:rsidP="00B51983">
            <w:pPr>
              <w:jc w:val="both"/>
            </w:pPr>
            <w:r w:rsidRPr="00B240FD">
              <w:t>796.04</w:t>
            </w:r>
          </w:p>
        </w:tc>
        <w:tc>
          <w:tcPr>
            <w:tcW w:w="1813" w:type="dxa"/>
          </w:tcPr>
          <w:p w14:paraId="11852355" w14:textId="2E4E314F" w:rsidR="00E65563" w:rsidRPr="00B240FD" w:rsidRDefault="00B240FD" w:rsidP="00B51983">
            <w:pPr>
              <w:jc w:val="both"/>
            </w:pPr>
            <w:r w:rsidRPr="00B240FD">
              <w:t>48 807.58</w:t>
            </w:r>
          </w:p>
        </w:tc>
      </w:tr>
    </w:tbl>
    <w:p w14:paraId="23DBBDFD" w14:textId="790B1DB0" w:rsidR="00E65563" w:rsidRDefault="00E65563" w:rsidP="00B51983">
      <w:pPr>
        <w:jc w:val="both"/>
        <w:rPr>
          <w:b/>
          <w:bCs/>
        </w:rPr>
      </w:pPr>
    </w:p>
    <w:p w14:paraId="39289667" w14:textId="77777777" w:rsidR="00B240FD" w:rsidRDefault="00B240FD" w:rsidP="00B51983">
      <w:pPr>
        <w:jc w:val="both"/>
        <w:rPr>
          <w:b/>
          <w:bCs/>
        </w:rPr>
      </w:pPr>
    </w:p>
    <w:p w14:paraId="3A7EE9AA" w14:textId="67E2EB98" w:rsidR="00B240FD" w:rsidRPr="00B240FD" w:rsidRDefault="00920F4D" w:rsidP="00B240FD">
      <w:pPr>
        <w:pBdr>
          <w:top w:val="single" w:sz="4" w:space="1" w:color="auto"/>
          <w:left w:val="single" w:sz="4" w:space="4" w:color="auto"/>
          <w:bottom w:val="single" w:sz="4" w:space="1" w:color="auto"/>
          <w:right w:val="single" w:sz="4" w:space="4" w:color="auto"/>
        </w:pBdr>
        <w:jc w:val="both"/>
      </w:pPr>
      <w:r>
        <w:t>P</w:t>
      </w:r>
      <w:r w:rsidR="00B240FD" w:rsidRPr="00B240FD">
        <w:t xml:space="preserve">our : </w:t>
      </w:r>
      <w:r w:rsidR="00D407F8">
        <w:t>16</w:t>
      </w:r>
    </w:p>
    <w:p w14:paraId="3C0E7CA9" w14:textId="077504B5" w:rsidR="00B240FD" w:rsidRPr="00B240FD" w:rsidRDefault="00920F4D" w:rsidP="00B240FD">
      <w:pPr>
        <w:pBdr>
          <w:top w:val="single" w:sz="4" w:space="1" w:color="auto"/>
          <w:left w:val="single" w:sz="4" w:space="4" w:color="auto"/>
          <w:bottom w:val="single" w:sz="4" w:space="1" w:color="auto"/>
          <w:right w:val="single" w:sz="4" w:space="4" w:color="auto"/>
        </w:pBdr>
        <w:jc w:val="both"/>
      </w:pPr>
      <w:r>
        <w:t>C</w:t>
      </w:r>
      <w:r w:rsidR="00B240FD" w:rsidRPr="00B240FD">
        <w:t xml:space="preserve">ontre : </w:t>
      </w:r>
      <w:r w:rsidR="00D407F8">
        <w:t>0</w:t>
      </w:r>
    </w:p>
    <w:p w14:paraId="1E9C06A0" w14:textId="2F425491" w:rsidR="00B240FD" w:rsidRPr="00B240FD" w:rsidRDefault="00920F4D" w:rsidP="00B240FD">
      <w:pPr>
        <w:pBdr>
          <w:top w:val="single" w:sz="4" w:space="1" w:color="auto"/>
          <w:left w:val="single" w:sz="4" w:space="4" w:color="auto"/>
          <w:bottom w:val="single" w:sz="4" w:space="1" w:color="auto"/>
          <w:right w:val="single" w:sz="4" w:space="4" w:color="auto"/>
        </w:pBdr>
        <w:jc w:val="both"/>
      </w:pPr>
      <w:r>
        <w:t>A</w:t>
      </w:r>
      <w:r w:rsidR="00B240FD" w:rsidRPr="00B240FD">
        <w:t xml:space="preserve">bstention : </w:t>
      </w:r>
      <w:r w:rsidR="00D407F8">
        <w:t>0</w:t>
      </w:r>
    </w:p>
    <w:p w14:paraId="74A68A34" w14:textId="58B6B12D" w:rsidR="00483E51" w:rsidRDefault="00483E51" w:rsidP="00483E51">
      <w:pPr>
        <w:pBdr>
          <w:top w:val="single" w:sz="4" w:space="1" w:color="auto"/>
          <w:left w:val="single" w:sz="4" w:space="4" w:color="auto"/>
          <w:bottom w:val="single" w:sz="4" w:space="1" w:color="auto"/>
          <w:right w:val="single" w:sz="4" w:space="4" w:color="auto"/>
        </w:pBdr>
        <w:jc w:val="both"/>
        <w:rPr>
          <w:rFonts w:eastAsia="Arial Unicode MS" w:cstheme="minorHAnsi"/>
          <w:szCs w:val="24"/>
        </w:rPr>
      </w:pPr>
    </w:p>
    <w:p w14:paraId="4A9CB669" w14:textId="77777777" w:rsidR="00E03179" w:rsidRPr="00D407F8" w:rsidRDefault="00E03179" w:rsidP="00B51983">
      <w:pPr>
        <w:jc w:val="both"/>
      </w:pPr>
    </w:p>
    <w:p w14:paraId="382C2415" w14:textId="60BF73F3" w:rsidR="009E24B6" w:rsidRPr="00D407F8" w:rsidRDefault="00D407F8" w:rsidP="009C3E46">
      <w:pPr>
        <w:jc w:val="both"/>
        <w:rPr>
          <w:u w:val="single"/>
        </w:rPr>
      </w:pPr>
      <w:r w:rsidRPr="00D407F8">
        <w:tab/>
      </w:r>
      <w:r w:rsidRPr="00D407F8">
        <w:tab/>
      </w:r>
      <w:r w:rsidRPr="00D407F8">
        <w:tab/>
      </w:r>
      <w:r w:rsidRPr="00D407F8">
        <w:tab/>
      </w:r>
      <w:r w:rsidRPr="00D407F8">
        <w:tab/>
      </w:r>
      <w:r w:rsidRPr="00D407F8">
        <w:tab/>
      </w:r>
      <w:r w:rsidRPr="00D407F8">
        <w:tab/>
        <w:t>La séance se termine à 22 h 30.</w:t>
      </w:r>
    </w:p>
    <w:sectPr w:rsidR="009E24B6" w:rsidRPr="00D407F8" w:rsidSect="00C265A0">
      <w:footerReference w:type="default" r:id="rId8"/>
      <w:pgSz w:w="11906" w:h="16838"/>
      <w:pgMar w:top="567" w:right="1134" w:bottom="56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80A3" w14:textId="77777777" w:rsidR="009D62C6" w:rsidRDefault="009D62C6" w:rsidP="009D62C6">
      <w:pPr>
        <w:spacing w:after="0" w:line="240" w:lineRule="auto"/>
      </w:pPr>
      <w:r>
        <w:separator/>
      </w:r>
    </w:p>
  </w:endnote>
  <w:endnote w:type="continuationSeparator" w:id="0">
    <w:p w14:paraId="028FAE74" w14:textId="77777777" w:rsidR="009D62C6" w:rsidRDefault="009D62C6" w:rsidP="009D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123696"/>
      <w:docPartObj>
        <w:docPartGallery w:val="Page Numbers (Bottom of Page)"/>
        <w:docPartUnique/>
      </w:docPartObj>
    </w:sdtPr>
    <w:sdtEndPr/>
    <w:sdtContent>
      <w:p w14:paraId="14A4B5DE" w14:textId="286AE815" w:rsidR="009D62C6" w:rsidRDefault="009D62C6">
        <w:pPr>
          <w:pStyle w:val="Pieddepage"/>
          <w:jc w:val="right"/>
        </w:pPr>
        <w:r>
          <w:fldChar w:fldCharType="begin"/>
        </w:r>
        <w:r>
          <w:instrText>PAGE   \* MERGEFORMAT</w:instrText>
        </w:r>
        <w:r>
          <w:fldChar w:fldCharType="separate"/>
        </w:r>
        <w:r w:rsidR="003F2544">
          <w:rPr>
            <w:noProof/>
          </w:rPr>
          <w:t>9</w:t>
        </w:r>
        <w:r>
          <w:fldChar w:fldCharType="end"/>
        </w:r>
      </w:p>
    </w:sdtContent>
  </w:sdt>
  <w:p w14:paraId="640703F3" w14:textId="77777777" w:rsidR="009D62C6" w:rsidRDefault="009D62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F700" w14:textId="77777777" w:rsidR="009D62C6" w:rsidRDefault="009D62C6" w:rsidP="009D62C6">
      <w:pPr>
        <w:spacing w:after="0" w:line="240" w:lineRule="auto"/>
      </w:pPr>
      <w:r>
        <w:separator/>
      </w:r>
    </w:p>
  </w:footnote>
  <w:footnote w:type="continuationSeparator" w:id="0">
    <w:p w14:paraId="033C86A4" w14:textId="77777777" w:rsidR="009D62C6" w:rsidRDefault="009D62C6" w:rsidP="009D6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4344"/>
    <w:multiLevelType w:val="hybridMultilevel"/>
    <w:tmpl w:val="601C67EE"/>
    <w:lvl w:ilvl="0" w:tplc="C9A09F64">
      <w:start w:val="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B94313"/>
    <w:multiLevelType w:val="hybridMultilevel"/>
    <w:tmpl w:val="982A178C"/>
    <w:lvl w:ilvl="0" w:tplc="A9407BFA">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6F2A635F"/>
    <w:multiLevelType w:val="hybridMultilevel"/>
    <w:tmpl w:val="EA54176E"/>
    <w:lvl w:ilvl="0" w:tplc="C762A0E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434EEF"/>
    <w:multiLevelType w:val="hybridMultilevel"/>
    <w:tmpl w:val="4B7AE172"/>
    <w:lvl w:ilvl="0" w:tplc="9F3C51FA">
      <w:numFmt w:val="bullet"/>
      <w:lvlText w:val="-"/>
      <w:lvlJc w:val="left"/>
      <w:pPr>
        <w:ind w:left="1065" w:hanging="360"/>
      </w:pPr>
      <w:rPr>
        <w:rFonts w:ascii="Calibri" w:eastAsia="Arial Unicode MS"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78925E63"/>
    <w:multiLevelType w:val="hybridMultilevel"/>
    <w:tmpl w:val="DFFC6390"/>
    <w:lvl w:ilvl="0" w:tplc="829C1304">
      <w:start w:val="1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7B"/>
    <w:rsid w:val="00051739"/>
    <w:rsid w:val="00051F6F"/>
    <w:rsid w:val="000842A8"/>
    <w:rsid w:val="000D3C83"/>
    <w:rsid w:val="00132561"/>
    <w:rsid w:val="00135E66"/>
    <w:rsid w:val="001F7811"/>
    <w:rsid w:val="0021330F"/>
    <w:rsid w:val="00216A49"/>
    <w:rsid w:val="002663B2"/>
    <w:rsid w:val="00270D90"/>
    <w:rsid w:val="002E1983"/>
    <w:rsid w:val="002F451B"/>
    <w:rsid w:val="00320A93"/>
    <w:rsid w:val="003A62C0"/>
    <w:rsid w:val="003B1FDB"/>
    <w:rsid w:val="003C6BAE"/>
    <w:rsid w:val="003E757B"/>
    <w:rsid w:val="003F2544"/>
    <w:rsid w:val="004000DC"/>
    <w:rsid w:val="00473FC2"/>
    <w:rsid w:val="00483E51"/>
    <w:rsid w:val="005107E9"/>
    <w:rsid w:val="00531703"/>
    <w:rsid w:val="00540CB9"/>
    <w:rsid w:val="0055376F"/>
    <w:rsid w:val="00554ABF"/>
    <w:rsid w:val="00555EE7"/>
    <w:rsid w:val="005B7FB9"/>
    <w:rsid w:val="005D482F"/>
    <w:rsid w:val="00621734"/>
    <w:rsid w:val="0068753E"/>
    <w:rsid w:val="00690490"/>
    <w:rsid w:val="00692E0C"/>
    <w:rsid w:val="006F34F2"/>
    <w:rsid w:val="00730838"/>
    <w:rsid w:val="00755AF1"/>
    <w:rsid w:val="00760590"/>
    <w:rsid w:val="00764562"/>
    <w:rsid w:val="00771D13"/>
    <w:rsid w:val="00773D35"/>
    <w:rsid w:val="00800E57"/>
    <w:rsid w:val="00813527"/>
    <w:rsid w:val="00842A16"/>
    <w:rsid w:val="00862A8A"/>
    <w:rsid w:val="00866EFA"/>
    <w:rsid w:val="008A7677"/>
    <w:rsid w:val="008E778D"/>
    <w:rsid w:val="00920F4D"/>
    <w:rsid w:val="00921536"/>
    <w:rsid w:val="00921B01"/>
    <w:rsid w:val="009552D5"/>
    <w:rsid w:val="00987B34"/>
    <w:rsid w:val="009C3E46"/>
    <w:rsid w:val="009D62C6"/>
    <w:rsid w:val="009E24B6"/>
    <w:rsid w:val="00A353EF"/>
    <w:rsid w:val="00A91407"/>
    <w:rsid w:val="00AB4E19"/>
    <w:rsid w:val="00AC52E5"/>
    <w:rsid w:val="00AC7123"/>
    <w:rsid w:val="00B06D61"/>
    <w:rsid w:val="00B240FD"/>
    <w:rsid w:val="00B31B5D"/>
    <w:rsid w:val="00B505CE"/>
    <w:rsid w:val="00B51983"/>
    <w:rsid w:val="00BB146B"/>
    <w:rsid w:val="00BB7891"/>
    <w:rsid w:val="00C265A0"/>
    <w:rsid w:val="00C61443"/>
    <w:rsid w:val="00C640C8"/>
    <w:rsid w:val="00C87036"/>
    <w:rsid w:val="00CC392E"/>
    <w:rsid w:val="00CE2872"/>
    <w:rsid w:val="00D0454B"/>
    <w:rsid w:val="00D407F8"/>
    <w:rsid w:val="00D512A4"/>
    <w:rsid w:val="00D80E48"/>
    <w:rsid w:val="00DD36AD"/>
    <w:rsid w:val="00E03179"/>
    <w:rsid w:val="00E12824"/>
    <w:rsid w:val="00E2193C"/>
    <w:rsid w:val="00E65563"/>
    <w:rsid w:val="00EE701B"/>
    <w:rsid w:val="00F21BBB"/>
    <w:rsid w:val="00F56306"/>
    <w:rsid w:val="00F63367"/>
    <w:rsid w:val="00F6614B"/>
    <w:rsid w:val="00F90E51"/>
    <w:rsid w:val="00F93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539F"/>
  <w15:docId w15:val="{2374A27C-B702-4063-B115-4F0F0E1B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6306"/>
    <w:pPr>
      <w:ind w:left="720"/>
      <w:contextualSpacing/>
    </w:pPr>
  </w:style>
  <w:style w:type="table" w:styleId="Grilledutableau">
    <w:name w:val="Table Grid"/>
    <w:basedOn w:val="TableauNormal"/>
    <w:uiPriority w:val="39"/>
    <w:rsid w:val="00D0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D36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36AD"/>
    <w:rPr>
      <w:rFonts w:ascii="Segoe UI" w:hAnsi="Segoe UI" w:cs="Segoe UI"/>
      <w:sz w:val="18"/>
      <w:szCs w:val="18"/>
    </w:rPr>
  </w:style>
  <w:style w:type="paragraph" w:styleId="En-tte">
    <w:name w:val="header"/>
    <w:basedOn w:val="Normal"/>
    <w:link w:val="En-tteCar"/>
    <w:uiPriority w:val="99"/>
    <w:unhideWhenUsed/>
    <w:rsid w:val="009D62C6"/>
    <w:pPr>
      <w:tabs>
        <w:tab w:val="center" w:pos="4536"/>
        <w:tab w:val="right" w:pos="9072"/>
      </w:tabs>
      <w:spacing w:after="0" w:line="240" w:lineRule="auto"/>
    </w:pPr>
  </w:style>
  <w:style w:type="character" w:customStyle="1" w:styleId="En-tteCar">
    <w:name w:val="En-tête Car"/>
    <w:basedOn w:val="Policepardfaut"/>
    <w:link w:val="En-tte"/>
    <w:uiPriority w:val="99"/>
    <w:rsid w:val="009D62C6"/>
  </w:style>
  <w:style w:type="paragraph" w:styleId="Pieddepage">
    <w:name w:val="footer"/>
    <w:basedOn w:val="Normal"/>
    <w:link w:val="PieddepageCar"/>
    <w:uiPriority w:val="99"/>
    <w:unhideWhenUsed/>
    <w:rsid w:val="009D62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536">
      <w:bodyDiv w:val="1"/>
      <w:marLeft w:val="0"/>
      <w:marRight w:val="0"/>
      <w:marTop w:val="0"/>
      <w:marBottom w:val="0"/>
      <w:divBdr>
        <w:top w:val="none" w:sz="0" w:space="0" w:color="auto"/>
        <w:left w:val="none" w:sz="0" w:space="0" w:color="auto"/>
        <w:bottom w:val="none" w:sz="0" w:space="0" w:color="auto"/>
        <w:right w:val="none" w:sz="0" w:space="0" w:color="auto"/>
      </w:divBdr>
    </w:div>
    <w:div w:id="136579768">
      <w:bodyDiv w:val="1"/>
      <w:marLeft w:val="0"/>
      <w:marRight w:val="0"/>
      <w:marTop w:val="0"/>
      <w:marBottom w:val="0"/>
      <w:divBdr>
        <w:top w:val="none" w:sz="0" w:space="0" w:color="auto"/>
        <w:left w:val="none" w:sz="0" w:space="0" w:color="auto"/>
        <w:bottom w:val="none" w:sz="0" w:space="0" w:color="auto"/>
        <w:right w:val="none" w:sz="0" w:space="0" w:color="auto"/>
      </w:divBdr>
      <w:divsChild>
        <w:div w:id="1256478991">
          <w:marLeft w:val="0"/>
          <w:marRight w:val="0"/>
          <w:marTop w:val="0"/>
          <w:marBottom w:val="0"/>
          <w:divBdr>
            <w:top w:val="none" w:sz="0" w:space="0" w:color="auto"/>
            <w:left w:val="none" w:sz="0" w:space="0" w:color="auto"/>
            <w:bottom w:val="none" w:sz="0" w:space="0" w:color="auto"/>
            <w:right w:val="none" w:sz="0" w:space="0" w:color="auto"/>
          </w:divBdr>
        </w:div>
        <w:div w:id="2139569977">
          <w:marLeft w:val="0"/>
          <w:marRight w:val="0"/>
          <w:marTop w:val="0"/>
          <w:marBottom w:val="0"/>
          <w:divBdr>
            <w:top w:val="none" w:sz="0" w:space="0" w:color="auto"/>
            <w:left w:val="none" w:sz="0" w:space="0" w:color="auto"/>
            <w:bottom w:val="none" w:sz="0" w:space="0" w:color="auto"/>
            <w:right w:val="none" w:sz="0" w:space="0" w:color="auto"/>
          </w:divBdr>
          <w:divsChild>
            <w:div w:id="2132236956">
              <w:marLeft w:val="0"/>
              <w:marRight w:val="0"/>
              <w:marTop w:val="0"/>
              <w:marBottom w:val="0"/>
              <w:divBdr>
                <w:top w:val="none" w:sz="0" w:space="0" w:color="auto"/>
                <w:left w:val="none" w:sz="0" w:space="0" w:color="auto"/>
                <w:bottom w:val="none" w:sz="0" w:space="0" w:color="auto"/>
                <w:right w:val="none" w:sz="0" w:space="0" w:color="auto"/>
              </w:divBdr>
            </w:div>
            <w:div w:id="1207567444">
              <w:marLeft w:val="0"/>
              <w:marRight w:val="0"/>
              <w:marTop w:val="0"/>
              <w:marBottom w:val="0"/>
              <w:divBdr>
                <w:top w:val="none" w:sz="0" w:space="0" w:color="auto"/>
                <w:left w:val="none" w:sz="0" w:space="0" w:color="auto"/>
                <w:bottom w:val="none" w:sz="0" w:space="0" w:color="auto"/>
                <w:right w:val="none" w:sz="0" w:space="0" w:color="auto"/>
              </w:divBdr>
            </w:div>
          </w:divsChild>
        </w:div>
        <w:div w:id="1730151820">
          <w:marLeft w:val="0"/>
          <w:marRight w:val="0"/>
          <w:marTop w:val="0"/>
          <w:marBottom w:val="0"/>
          <w:divBdr>
            <w:top w:val="none" w:sz="0" w:space="0" w:color="auto"/>
            <w:left w:val="none" w:sz="0" w:space="0" w:color="auto"/>
            <w:bottom w:val="none" w:sz="0" w:space="0" w:color="auto"/>
            <w:right w:val="none" w:sz="0" w:space="0" w:color="auto"/>
          </w:divBdr>
          <w:divsChild>
            <w:div w:id="1881086093">
              <w:marLeft w:val="0"/>
              <w:marRight w:val="0"/>
              <w:marTop w:val="0"/>
              <w:marBottom w:val="0"/>
              <w:divBdr>
                <w:top w:val="none" w:sz="0" w:space="0" w:color="auto"/>
                <w:left w:val="none" w:sz="0" w:space="0" w:color="auto"/>
                <w:bottom w:val="none" w:sz="0" w:space="0" w:color="auto"/>
                <w:right w:val="none" w:sz="0" w:space="0" w:color="auto"/>
              </w:divBdr>
              <w:divsChild>
                <w:div w:id="177430040">
                  <w:marLeft w:val="0"/>
                  <w:marRight w:val="0"/>
                  <w:marTop w:val="0"/>
                  <w:marBottom w:val="0"/>
                  <w:divBdr>
                    <w:top w:val="none" w:sz="0" w:space="0" w:color="auto"/>
                    <w:left w:val="none" w:sz="0" w:space="0" w:color="auto"/>
                    <w:bottom w:val="none" w:sz="0" w:space="0" w:color="auto"/>
                    <w:right w:val="none" w:sz="0" w:space="0" w:color="auto"/>
                  </w:divBdr>
                  <w:divsChild>
                    <w:div w:id="1953630038">
                      <w:marLeft w:val="0"/>
                      <w:marRight w:val="0"/>
                      <w:marTop w:val="0"/>
                      <w:marBottom w:val="0"/>
                      <w:divBdr>
                        <w:top w:val="none" w:sz="0" w:space="0" w:color="auto"/>
                        <w:left w:val="none" w:sz="0" w:space="0" w:color="auto"/>
                        <w:bottom w:val="none" w:sz="0" w:space="0" w:color="auto"/>
                        <w:right w:val="none" w:sz="0" w:space="0" w:color="auto"/>
                      </w:divBdr>
                      <w:divsChild>
                        <w:div w:id="1591040249">
                          <w:marLeft w:val="0"/>
                          <w:marRight w:val="0"/>
                          <w:marTop w:val="0"/>
                          <w:marBottom w:val="0"/>
                          <w:divBdr>
                            <w:top w:val="none" w:sz="0" w:space="0" w:color="auto"/>
                            <w:left w:val="none" w:sz="0" w:space="0" w:color="auto"/>
                            <w:bottom w:val="none" w:sz="0" w:space="0" w:color="auto"/>
                            <w:right w:val="none" w:sz="0" w:space="0" w:color="auto"/>
                          </w:divBdr>
                          <w:divsChild>
                            <w:div w:id="2026206114">
                              <w:marLeft w:val="0"/>
                              <w:marRight w:val="0"/>
                              <w:marTop w:val="0"/>
                              <w:marBottom w:val="0"/>
                              <w:divBdr>
                                <w:top w:val="none" w:sz="0" w:space="0" w:color="auto"/>
                                <w:left w:val="none" w:sz="0" w:space="0" w:color="auto"/>
                                <w:bottom w:val="none" w:sz="0" w:space="0" w:color="auto"/>
                                <w:right w:val="none" w:sz="0" w:space="0" w:color="auto"/>
                              </w:divBdr>
                            </w:div>
                            <w:div w:id="658265630">
                              <w:marLeft w:val="0"/>
                              <w:marRight w:val="0"/>
                              <w:marTop w:val="0"/>
                              <w:marBottom w:val="0"/>
                              <w:divBdr>
                                <w:top w:val="none" w:sz="0" w:space="0" w:color="auto"/>
                                <w:left w:val="none" w:sz="0" w:space="0" w:color="auto"/>
                                <w:bottom w:val="none" w:sz="0" w:space="0" w:color="auto"/>
                                <w:right w:val="none" w:sz="0" w:space="0" w:color="auto"/>
                              </w:divBdr>
                            </w:div>
                            <w:div w:id="13411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3063</Words>
  <Characters>16852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Le Dret</dc:creator>
  <cp:keywords/>
  <dc:description/>
  <cp:lastModifiedBy>Nathalie Richard</cp:lastModifiedBy>
  <cp:revision>2</cp:revision>
  <cp:lastPrinted>2019-09-17T10:05:00Z</cp:lastPrinted>
  <dcterms:created xsi:type="dcterms:W3CDTF">2019-10-29T15:20:00Z</dcterms:created>
  <dcterms:modified xsi:type="dcterms:W3CDTF">2019-10-29T15:20:00Z</dcterms:modified>
</cp:coreProperties>
</file>